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10A8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4E0DBF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3F1793">
              <w:rPr>
                <w:noProof/>
                <w:webHidden/>
              </w:rPr>
              <w:t>2</w:t>
            </w:r>
            <w:r>
              <w:rPr>
                <w:noProof/>
                <w:webHidden/>
              </w:rPr>
              <w:fldChar w:fldCharType="end"/>
            </w:r>
          </w:hyperlink>
        </w:p>
        <w:p w14:paraId="47CC41D1" w14:textId="2704F14F" w:rsidR="00F46719" w:rsidRDefault="00210A8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3F1793">
              <w:rPr>
                <w:noProof/>
                <w:webHidden/>
              </w:rPr>
              <w:t>2</w:t>
            </w:r>
            <w:r w:rsidR="00F46719">
              <w:rPr>
                <w:noProof/>
                <w:webHidden/>
              </w:rPr>
              <w:fldChar w:fldCharType="end"/>
            </w:r>
          </w:hyperlink>
        </w:p>
        <w:p w14:paraId="0205BF1A" w14:textId="34E80A3A" w:rsidR="00F46719" w:rsidRDefault="00210A8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3F1793">
              <w:rPr>
                <w:noProof/>
                <w:webHidden/>
              </w:rPr>
              <w:t>2</w:t>
            </w:r>
            <w:r w:rsidR="00F46719">
              <w:rPr>
                <w:noProof/>
                <w:webHidden/>
              </w:rPr>
              <w:fldChar w:fldCharType="end"/>
            </w:r>
          </w:hyperlink>
        </w:p>
        <w:p w14:paraId="3181098F" w14:textId="750ACD10" w:rsidR="00F46719" w:rsidRDefault="00210A8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3F1793">
              <w:rPr>
                <w:noProof/>
                <w:webHidden/>
              </w:rPr>
              <w:t>3</w:t>
            </w:r>
            <w:r w:rsidR="00F46719">
              <w:rPr>
                <w:noProof/>
                <w:webHidden/>
              </w:rPr>
              <w:fldChar w:fldCharType="end"/>
            </w:r>
          </w:hyperlink>
        </w:p>
        <w:p w14:paraId="3E5886DF" w14:textId="088F65CC" w:rsidR="00F46719" w:rsidRDefault="00210A8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3F1793">
              <w:rPr>
                <w:noProof/>
                <w:webHidden/>
              </w:rPr>
              <w:t>5</w:t>
            </w:r>
            <w:r w:rsidR="00F46719">
              <w:rPr>
                <w:noProof/>
                <w:webHidden/>
              </w:rPr>
              <w:fldChar w:fldCharType="end"/>
            </w:r>
          </w:hyperlink>
        </w:p>
        <w:p w14:paraId="653AF446" w14:textId="55386192" w:rsidR="00F46719" w:rsidRDefault="00210A8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3F1793">
              <w:rPr>
                <w:noProof/>
                <w:webHidden/>
              </w:rPr>
              <w:t>6</w:t>
            </w:r>
            <w:r w:rsidR="00F46719">
              <w:rPr>
                <w:noProof/>
                <w:webHidden/>
              </w:rPr>
              <w:fldChar w:fldCharType="end"/>
            </w:r>
          </w:hyperlink>
        </w:p>
        <w:p w14:paraId="21BA046A" w14:textId="08C49638" w:rsidR="00F46719" w:rsidRDefault="00210A8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3F1793">
              <w:rPr>
                <w:noProof/>
                <w:webHidden/>
              </w:rPr>
              <w:t>7</w:t>
            </w:r>
            <w:r w:rsidR="00F46719">
              <w:rPr>
                <w:noProof/>
                <w:webHidden/>
              </w:rPr>
              <w:fldChar w:fldCharType="end"/>
            </w:r>
          </w:hyperlink>
        </w:p>
        <w:p w14:paraId="784807F5" w14:textId="030F62B0" w:rsidR="00F46719" w:rsidRDefault="00210A8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3F1793">
              <w:rPr>
                <w:noProof/>
                <w:webHidden/>
              </w:rPr>
              <w:t>8</w:t>
            </w:r>
            <w:r w:rsidR="00F46719">
              <w:rPr>
                <w:noProof/>
                <w:webHidden/>
              </w:rPr>
              <w:fldChar w:fldCharType="end"/>
            </w:r>
          </w:hyperlink>
        </w:p>
        <w:p w14:paraId="7E663DB5" w14:textId="263B056D" w:rsidR="00F46719" w:rsidRDefault="00210A8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3F1793">
              <w:rPr>
                <w:noProof/>
                <w:webHidden/>
              </w:rPr>
              <w:t>9</w:t>
            </w:r>
            <w:r w:rsidR="00F46719">
              <w:rPr>
                <w:noProof/>
                <w:webHidden/>
              </w:rPr>
              <w:fldChar w:fldCharType="end"/>
            </w:r>
          </w:hyperlink>
        </w:p>
        <w:p w14:paraId="335A44C3" w14:textId="16CB7C83" w:rsidR="00F46719" w:rsidRDefault="00210A8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3F1793">
              <w:rPr>
                <w:noProof/>
                <w:webHidden/>
              </w:rPr>
              <w:t>9</w:t>
            </w:r>
            <w:r w:rsidR="00F46719">
              <w:rPr>
                <w:noProof/>
                <w:webHidden/>
              </w:rPr>
              <w:fldChar w:fldCharType="end"/>
            </w:r>
          </w:hyperlink>
        </w:p>
        <w:p w14:paraId="290CB7FF" w14:textId="6AEFAA7A" w:rsidR="00F46719" w:rsidRDefault="00210A8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3F1793">
              <w:rPr>
                <w:noProof/>
                <w:webHidden/>
              </w:rPr>
              <w:t>10</w:t>
            </w:r>
            <w:r w:rsidR="00F46719">
              <w:rPr>
                <w:noProof/>
                <w:webHidden/>
              </w:rPr>
              <w:fldChar w:fldCharType="end"/>
            </w:r>
          </w:hyperlink>
        </w:p>
        <w:p w14:paraId="67FB6C3B" w14:textId="55C894D7" w:rsidR="00F46719" w:rsidRDefault="00210A8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3F1793">
              <w:rPr>
                <w:noProof/>
                <w:webHidden/>
              </w:rPr>
              <w:t>10</w:t>
            </w:r>
            <w:r w:rsidR="00F46719">
              <w:rPr>
                <w:noProof/>
                <w:webHidden/>
              </w:rPr>
              <w:fldChar w:fldCharType="end"/>
            </w:r>
          </w:hyperlink>
        </w:p>
        <w:p w14:paraId="3373EEEC" w14:textId="099C76A5" w:rsidR="00F46719" w:rsidRDefault="00210A8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3F1793">
              <w:rPr>
                <w:noProof/>
                <w:webHidden/>
              </w:rPr>
              <w:t>10</w:t>
            </w:r>
            <w:r w:rsidR="00F46719">
              <w:rPr>
                <w:noProof/>
                <w:webHidden/>
              </w:rPr>
              <w:fldChar w:fldCharType="end"/>
            </w:r>
          </w:hyperlink>
        </w:p>
        <w:p w14:paraId="01A1A543" w14:textId="2177DB6A" w:rsidR="00F46719" w:rsidRDefault="00210A8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3F1793">
              <w:rPr>
                <w:noProof/>
                <w:webHidden/>
              </w:rPr>
              <w:t>11</w:t>
            </w:r>
            <w:r w:rsidR="00F46719">
              <w:rPr>
                <w:noProof/>
                <w:webHidden/>
              </w:rPr>
              <w:fldChar w:fldCharType="end"/>
            </w:r>
          </w:hyperlink>
        </w:p>
        <w:p w14:paraId="314DA06E" w14:textId="5B404BEF" w:rsidR="00F46719" w:rsidRDefault="00210A8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3F1793">
              <w:rPr>
                <w:noProof/>
                <w:webHidden/>
              </w:rPr>
              <w:t>11</w:t>
            </w:r>
            <w:r w:rsidR="00F46719">
              <w:rPr>
                <w:noProof/>
                <w:webHidden/>
              </w:rPr>
              <w:fldChar w:fldCharType="end"/>
            </w:r>
          </w:hyperlink>
        </w:p>
        <w:p w14:paraId="0A10726F" w14:textId="48514044" w:rsidR="00F46719" w:rsidRDefault="00210A8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3F1793">
              <w:rPr>
                <w:noProof/>
                <w:webHidden/>
              </w:rPr>
              <w:t>11</w:t>
            </w:r>
            <w:r w:rsidR="00F46719">
              <w:rPr>
                <w:noProof/>
                <w:webHidden/>
              </w:rPr>
              <w:fldChar w:fldCharType="end"/>
            </w:r>
          </w:hyperlink>
        </w:p>
        <w:p w14:paraId="3402BC77" w14:textId="5F80C544" w:rsidR="00F46719" w:rsidRDefault="00210A8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3F1793">
              <w:rPr>
                <w:noProof/>
                <w:webHidden/>
              </w:rPr>
              <w:t>12</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6406363" w14:textId="29B82DA5" w:rsidR="00CB255B" w:rsidRPr="00D16233" w:rsidRDefault="00CB255B" w:rsidP="00CB255B">
      <w:pPr>
        <w:tabs>
          <w:tab w:val="left" w:leader="underscore" w:pos="9639"/>
        </w:tabs>
        <w:spacing w:after="0" w:line="240" w:lineRule="auto"/>
        <w:jc w:val="both"/>
        <w:rPr>
          <w:rFonts w:cs="Calibri"/>
        </w:rPr>
      </w:pPr>
      <w:r w:rsidRPr="00D16233">
        <w:rPr>
          <w:rFonts w:cs="Calibri"/>
        </w:rPr>
        <w:t>El Sistema para el Desarrollo Integral de la Familia del Municipio de Comonfort, Gto. Es un organismo público descentralizado de la Administración Pública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w:t>
      </w:r>
      <w:r>
        <w:rPr>
          <w:rFonts w:cs="Calibri"/>
        </w:rPr>
        <w:t>a</w:t>
      </w:r>
      <w:r w:rsidR="004F3E64">
        <w:rPr>
          <w:rFonts w:cs="Calibri"/>
        </w:rPr>
        <w:t xml:space="preserve"> eficaz y eficiente con el presupuesto 2021</w:t>
      </w:r>
      <w:r w:rsidRPr="00D16233">
        <w:rPr>
          <w:rFonts w:cs="Calibri"/>
        </w:rPr>
        <w:t>; por lo que dadas las condiciones y exigencias que la misma población del municipio demanda y para dar cumplimiento a  los lineamientos jurídicos</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90C3EAB" w14:textId="1D2B2CFA" w:rsidR="00CB255B" w:rsidRPr="00CB255B" w:rsidRDefault="00CB255B" w:rsidP="00B40609">
      <w:pPr>
        <w:spacing w:after="0" w:line="240" w:lineRule="auto"/>
        <w:jc w:val="both"/>
        <w:rPr>
          <w:rFonts w:cs="Calibri"/>
        </w:rPr>
      </w:pPr>
      <w:r w:rsidRPr="00CB255B">
        <w:rPr>
          <w:rFonts w:cs="Calibri"/>
        </w:rPr>
        <w:t>Para este el ejercicio fiscal 2021 se prevé la situación social y económica por la que atraviesa nuestro país d</w:t>
      </w:r>
      <w:r>
        <w:rPr>
          <w:rFonts w:cs="Calibri"/>
        </w:rPr>
        <w:t>esde el mes de marzo del 2020</w:t>
      </w:r>
      <w:r w:rsidRPr="00CB255B">
        <w:rPr>
          <w:rFonts w:cs="Calibri"/>
        </w:rPr>
        <w:t>. A partir de este momento nos obligan en todo  el país a tomar las medidas urgentes e indispensables para enfrentar la pandemia generada por el virus SARS-CoV2 (COVID 19).</w:t>
      </w:r>
    </w:p>
    <w:p w14:paraId="55CCFE03" w14:textId="77777777" w:rsidR="00CB255B" w:rsidRDefault="00CB255B" w:rsidP="00B40609">
      <w:pPr>
        <w:spacing w:after="0" w:line="240" w:lineRule="auto"/>
        <w:jc w:val="both"/>
        <w:rPr>
          <w:rFonts w:cs="Calibri"/>
        </w:rPr>
      </w:pPr>
      <w:r w:rsidRPr="00CB255B">
        <w:rPr>
          <w:rFonts w:cs="Calibri"/>
        </w:rPr>
        <w:t>En este aspecto las actividades económicas y productivas se interrumpieron con el fin de evitar la propagación. Con esta interrupción se origina una serie de medidas sociales y económicas que se han tenido que tomar la propagación de dicho virus. Estas consecuencias son históricas para nuestro país al ser de manera general, tiene una afectación en el municipio.</w:t>
      </w:r>
    </w:p>
    <w:p w14:paraId="50F5E7AF" w14:textId="77A29D43" w:rsidR="00B40609" w:rsidRDefault="00B40609" w:rsidP="00B40609">
      <w:pPr>
        <w:spacing w:after="0" w:line="240" w:lineRule="auto"/>
        <w:jc w:val="both"/>
        <w:rPr>
          <w:rFonts w:cs="Calibri"/>
        </w:rPr>
      </w:pPr>
      <w:r>
        <w:rPr>
          <w:rFonts w:cs="Calibri"/>
        </w:rPr>
        <w:t>En el tema de recaudación ha bajado considerablemente, en el caso del SDIF, la capacidad de prestación de servicios está totalmente restringida en lo que respecta al servicio de guardería y lo que es el servicio en materia de salud  para este trimestre estamos trabajando a una capacidad del 30%.</w:t>
      </w:r>
    </w:p>
    <w:p w14:paraId="6B50037C" w14:textId="16573A10" w:rsidR="00B40609" w:rsidRPr="00CB255B" w:rsidRDefault="00B40609" w:rsidP="00B40609">
      <w:pPr>
        <w:spacing w:after="0" w:line="240" w:lineRule="auto"/>
        <w:jc w:val="both"/>
        <w:rPr>
          <w:rFonts w:cs="Calibri"/>
        </w:rPr>
      </w:pPr>
      <w:r>
        <w:rPr>
          <w:rFonts w:cs="Calibri"/>
        </w:rPr>
        <w:t>Hay una baja considerable en los ingresos propios.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5E8E3E07" w:rsidR="007D1E76" w:rsidRPr="00372BDF" w:rsidRDefault="007D1E76" w:rsidP="00372BDF">
      <w:pPr>
        <w:pStyle w:val="Prrafodelista"/>
        <w:numPr>
          <w:ilvl w:val="0"/>
          <w:numId w:val="2"/>
        </w:numPr>
        <w:tabs>
          <w:tab w:val="left" w:leader="underscore" w:pos="9639"/>
        </w:tabs>
        <w:spacing w:after="0" w:line="240" w:lineRule="auto"/>
        <w:jc w:val="both"/>
        <w:rPr>
          <w:rFonts w:cs="Calibri"/>
        </w:rPr>
      </w:pPr>
      <w:r w:rsidRPr="00372BDF">
        <w:rPr>
          <w:rFonts w:cs="Calibri"/>
        </w:rPr>
        <w:t>Fecha de creación del ente.</w:t>
      </w:r>
    </w:p>
    <w:p w14:paraId="1500E642" w14:textId="77777777" w:rsidR="00372BDF" w:rsidRPr="00372BDF" w:rsidRDefault="00372BDF" w:rsidP="00372BDF">
      <w:pPr>
        <w:pStyle w:val="Prrafodelista"/>
        <w:tabs>
          <w:tab w:val="left" w:leader="underscore" w:pos="9639"/>
        </w:tabs>
        <w:spacing w:after="0" w:line="240" w:lineRule="auto"/>
        <w:jc w:val="both"/>
        <w:rPr>
          <w:rFonts w:cs="Calibri"/>
        </w:rPr>
      </w:pPr>
    </w:p>
    <w:p w14:paraId="4F16A7A8" w14:textId="77777777" w:rsidR="00372BDF" w:rsidRPr="00372BDF" w:rsidRDefault="00372BDF" w:rsidP="00372BDF">
      <w:pPr>
        <w:spacing w:after="0"/>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El 7 Noviembre de 1861 es declarado municipio y el 14 de Septiembre de 1987 se crea el SDIF.</w:t>
      </w:r>
    </w:p>
    <w:p w14:paraId="332AC308" w14:textId="77777777" w:rsidR="00372BDF" w:rsidRPr="00372BDF" w:rsidRDefault="00372BDF" w:rsidP="00372BDF">
      <w:pPr>
        <w:spacing w:after="0"/>
        <w:jc w:val="both"/>
        <w:rPr>
          <w:rFonts w:asciiTheme="minorHAnsi" w:hAnsiTheme="minorHAnsi" w:cstheme="minorHAnsi"/>
          <w:color w:val="000000" w:themeColor="text1"/>
          <w:sz w:val="20"/>
          <w:szCs w:val="20"/>
        </w:rPr>
      </w:pPr>
    </w:p>
    <w:p w14:paraId="0A88CC12" w14:textId="77777777" w:rsidR="00372BDF" w:rsidRPr="00372BDF" w:rsidRDefault="00372BDF" w:rsidP="00372BDF">
      <w:pPr>
        <w:spacing w:after="0"/>
        <w:ind w:left="720"/>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*En la Constitución Política para el Estado de Guanajuato se reconoce como municipio en su artículo 33.</w:t>
      </w:r>
    </w:p>
    <w:p w14:paraId="3D0990ED" w14:textId="77777777" w:rsidR="00372BDF" w:rsidRPr="00372BDF" w:rsidRDefault="00372BDF" w:rsidP="00372BDF">
      <w:pPr>
        <w:spacing w:after="0"/>
        <w:ind w:left="720"/>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*El SDIF se encuentra inscrito en el Registro Federal de Contribuyentes el cual es SDI880812GM0.</w:t>
      </w:r>
    </w:p>
    <w:p w14:paraId="4F52E4E0" w14:textId="77777777" w:rsidR="007D1E76" w:rsidRPr="00E74967" w:rsidRDefault="007D1E76" w:rsidP="00CB41C4">
      <w:pPr>
        <w:tabs>
          <w:tab w:val="left" w:leader="underscore" w:pos="9639"/>
        </w:tabs>
        <w:spacing w:after="0" w:line="240" w:lineRule="auto"/>
        <w:jc w:val="both"/>
        <w:rPr>
          <w:rFonts w:cs="Calibri"/>
        </w:rPr>
      </w:pPr>
    </w:p>
    <w:p w14:paraId="7D872835" w14:textId="77777777" w:rsidR="00372BDF" w:rsidRDefault="007D1E76" w:rsidP="00372BDF">
      <w:pPr>
        <w:pStyle w:val="Prrafodelista"/>
        <w:numPr>
          <w:ilvl w:val="0"/>
          <w:numId w:val="2"/>
        </w:numPr>
        <w:jc w:val="both"/>
        <w:rPr>
          <w:rFonts w:cs="Calibri"/>
        </w:rPr>
      </w:pPr>
      <w:r w:rsidRPr="00372BDF">
        <w:rPr>
          <w:rFonts w:cs="Calibri"/>
        </w:rPr>
        <w:t>Principales cambios en su estructura (interna históricamente).</w:t>
      </w:r>
    </w:p>
    <w:p w14:paraId="0550B0F4" w14:textId="451E7AF4" w:rsidR="00372BDF" w:rsidRPr="00372BDF" w:rsidRDefault="00372BDF" w:rsidP="00372BDF">
      <w:pPr>
        <w:ind w:left="360"/>
        <w:jc w:val="both"/>
        <w:rPr>
          <w:rFonts w:cs="Calibri"/>
          <w:color w:val="000000" w:themeColor="text1"/>
        </w:rPr>
      </w:pPr>
      <w:r w:rsidRPr="00372BDF">
        <w:rPr>
          <w:rFonts w:asciiTheme="minorHAnsi" w:hAnsiTheme="minorHAnsi" w:cstheme="minorHAnsi"/>
          <w:color w:val="000000" w:themeColor="text1"/>
          <w:sz w:val="20"/>
          <w:szCs w:val="20"/>
        </w:rPr>
        <w:lastRenderedPageBreak/>
        <w:t xml:space="preserve"> Presidentes Municipales (1997-2020)</w:t>
      </w:r>
    </w:p>
    <w:p w14:paraId="03A12117"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*JOSE ALBERTO MENDEZ PEREZ 1998-2000</w:t>
      </w:r>
    </w:p>
    <w:p w14:paraId="577F156B"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*ISIDRO FLORES LAGUNA 2000-2003</w:t>
      </w:r>
    </w:p>
    <w:p w14:paraId="41658E33"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*MOISES ARNULFO LOPEZPORTILLO RODRIGUEZ 2003-2006</w:t>
      </w:r>
    </w:p>
    <w:p w14:paraId="700D1CAE"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*BRICIO BALDERAS ALVAREZ 2006-2009</w:t>
      </w:r>
    </w:p>
    <w:p w14:paraId="42123D77"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*FRANCISCO JOSE RAMIREZ MARTINEZ 2009-2012</w:t>
      </w:r>
    </w:p>
    <w:p w14:paraId="50CCDA9E"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*PABLO MARTIN LOPEZPORTILLO RODRIGUEZ 2012-2015</w:t>
      </w:r>
    </w:p>
    <w:p w14:paraId="5DEBB7D0"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*JOSE ALBERTO MENDEZ PEREZ   2015-2018</w:t>
      </w:r>
    </w:p>
    <w:p w14:paraId="36F78D4A" w14:textId="77777777" w:rsidR="00372BDF" w:rsidRPr="00372BDF" w:rsidRDefault="00372BDF" w:rsidP="00372BDF">
      <w:pPr>
        <w:spacing w:after="0"/>
        <w:ind w:left="567"/>
        <w:jc w:val="both"/>
        <w:rPr>
          <w:rFonts w:asciiTheme="minorHAnsi" w:hAnsiTheme="minorHAnsi" w:cstheme="minorHAnsi"/>
          <w:color w:val="000000" w:themeColor="text1"/>
          <w:sz w:val="20"/>
          <w:szCs w:val="20"/>
        </w:rPr>
      </w:pPr>
      <w:r w:rsidRPr="00372BDF">
        <w:rPr>
          <w:rFonts w:asciiTheme="minorHAnsi" w:hAnsiTheme="minorHAnsi" w:cstheme="minorHAnsi"/>
          <w:color w:val="000000" w:themeColor="text1"/>
          <w:sz w:val="20"/>
          <w:szCs w:val="20"/>
        </w:rPr>
        <w:t>*JOSE CARLOS NIETO JUAREZ 2018-2021</w:t>
      </w:r>
    </w:p>
    <w:p w14:paraId="3A2353BF" w14:textId="77777777" w:rsidR="007D1E76" w:rsidRPr="00E74967" w:rsidRDefault="007D1E76" w:rsidP="00CB41C4">
      <w:pPr>
        <w:tabs>
          <w:tab w:val="left" w:leader="underscore" w:pos="9639"/>
        </w:tabs>
        <w:spacing w:after="0" w:line="240" w:lineRule="auto"/>
        <w:jc w:val="both"/>
        <w:rPr>
          <w:rFonts w:cs="Calibri"/>
        </w:rPr>
      </w:pPr>
    </w:p>
    <w:p w14:paraId="45932019" w14:textId="635A2377" w:rsidR="007D1E76" w:rsidRPr="00E74967" w:rsidRDefault="007D1E76"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DC2394E" w14:textId="77777777" w:rsidR="00FA7E3D" w:rsidRDefault="00FA7E3D" w:rsidP="00372BDF">
      <w:pPr>
        <w:spacing w:after="0" w:line="240" w:lineRule="auto"/>
        <w:jc w:val="both"/>
        <w:rPr>
          <w:rFonts w:asciiTheme="minorHAnsi" w:hAnsiTheme="minorHAnsi" w:cstheme="minorHAnsi"/>
          <w:color w:val="000000" w:themeColor="text1"/>
          <w:sz w:val="20"/>
          <w:szCs w:val="20"/>
        </w:rPr>
      </w:pPr>
    </w:p>
    <w:p w14:paraId="33AE7FE3" w14:textId="1A9F12DC" w:rsidR="00372BDF" w:rsidRDefault="00FA7E3D" w:rsidP="00372BDF">
      <w:pPr>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Asegurar la atención permanente a población marginada, brindando servicios integrales de asistencia social.</w:t>
      </w:r>
    </w:p>
    <w:p w14:paraId="3117B852" w14:textId="77777777" w:rsidR="00FA7E3D" w:rsidRPr="00372BDF" w:rsidRDefault="00FA7E3D" w:rsidP="00372BDF">
      <w:pPr>
        <w:spacing w:after="0" w:line="240" w:lineRule="auto"/>
        <w:jc w:val="both"/>
        <w:rPr>
          <w:rFonts w:asciiTheme="minorHAnsi" w:hAnsiTheme="minorHAnsi" w:cstheme="minorHAnsi"/>
          <w:color w:val="000000" w:themeColor="text1"/>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B1B34B8" w14:textId="77777777" w:rsidR="00FA7E3D" w:rsidRDefault="00FA7E3D" w:rsidP="00FA7E3D">
      <w:pPr>
        <w:spacing w:after="0" w:line="240" w:lineRule="auto"/>
        <w:jc w:val="both"/>
        <w:rPr>
          <w:rFonts w:asciiTheme="minorHAnsi" w:hAnsiTheme="minorHAnsi" w:cstheme="minorHAnsi"/>
          <w:color w:val="000000" w:themeColor="text1"/>
          <w:sz w:val="20"/>
          <w:szCs w:val="20"/>
        </w:rPr>
      </w:pPr>
    </w:p>
    <w:p w14:paraId="05F8A0C4" w14:textId="09274601" w:rsidR="00FA7E3D" w:rsidRDefault="00FA7E3D" w:rsidP="00FA7E3D">
      <w:pPr>
        <w:spacing w:after="0" w:line="240" w:lineRule="auto"/>
        <w:jc w:val="both"/>
        <w:rPr>
          <w:rFonts w:asciiTheme="minorHAnsi" w:hAnsiTheme="minorHAnsi" w:cstheme="minorHAnsi"/>
          <w:color w:val="000000" w:themeColor="text1"/>
          <w:sz w:val="20"/>
          <w:szCs w:val="20"/>
        </w:rPr>
      </w:pPr>
      <w:r w:rsidRPr="00FA7E3D">
        <w:rPr>
          <w:rFonts w:asciiTheme="minorHAnsi" w:hAnsiTheme="minorHAnsi" w:cstheme="minorHAnsi"/>
          <w:color w:val="000000" w:themeColor="text1"/>
          <w:sz w:val="20"/>
          <w:szCs w:val="20"/>
        </w:rPr>
        <w:t>Coordinar a todas la áreas para que en materia se asistencia social podamos mejorar las condiciones de vida de la población del municipio.</w:t>
      </w:r>
    </w:p>
    <w:p w14:paraId="6C5C46F6" w14:textId="77777777" w:rsidR="00FA7E3D" w:rsidRPr="00FA7E3D" w:rsidRDefault="00FA7E3D" w:rsidP="00FA7E3D">
      <w:pPr>
        <w:spacing w:after="0" w:line="240" w:lineRule="auto"/>
        <w:jc w:val="both"/>
        <w:rPr>
          <w:rFonts w:asciiTheme="minorHAnsi" w:hAnsiTheme="minorHAnsi" w:cstheme="minorHAnsi"/>
          <w:color w:val="000000" w:themeColor="text1"/>
          <w:sz w:val="20"/>
          <w:szCs w:val="20"/>
        </w:rPr>
      </w:pPr>
    </w:p>
    <w:p w14:paraId="2D21CE61" w14:textId="152C0CC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FA7E3D">
        <w:rPr>
          <w:rFonts w:cs="Calibri"/>
        </w:rPr>
        <w:t xml:space="preserve"> Ejercicio fiscal</w:t>
      </w:r>
    </w:p>
    <w:p w14:paraId="16703E54" w14:textId="77777777" w:rsidR="007D1E76" w:rsidRDefault="007D1E76" w:rsidP="00CB41C4">
      <w:pPr>
        <w:tabs>
          <w:tab w:val="left" w:leader="underscore" w:pos="9639"/>
        </w:tabs>
        <w:spacing w:after="0" w:line="240" w:lineRule="auto"/>
        <w:jc w:val="both"/>
        <w:rPr>
          <w:rFonts w:cs="Calibri"/>
        </w:rPr>
      </w:pPr>
    </w:p>
    <w:p w14:paraId="43CB84CD" w14:textId="79A22A7B" w:rsidR="00FA7E3D" w:rsidRDefault="00FA7E3D" w:rsidP="00CB41C4">
      <w:pPr>
        <w:tabs>
          <w:tab w:val="left" w:leader="underscore" w:pos="9639"/>
        </w:tabs>
        <w:spacing w:after="0" w:line="240" w:lineRule="auto"/>
        <w:jc w:val="both"/>
        <w:rPr>
          <w:rFonts w:cs="Calibri"/>
        </w:rPr>
      </w:pPr>
      <w:r>
        <w:rPr>
          <w:rFonts w:cs="Calibri"/>
        </w:rPr>
        <w:t>Dar cumplimientos a muestras metas, programas y proyectos, establecidos por cada una de las áreas.</w:t>
      </w:r>
    </w:p>
    <w:p w14:paraId="71B27DFE" w14:textId="77777777" w:rsidR="00FA7E3D" w:rsidRPr="00E74967" w:rsidRDefault="00FA7E3D"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94FCA59" w14:textId="77777777" w:rsidR="004F1B56" w:rsidRDefault="004F1B56" w:rsidP="00FA7E3D">
      <w:pPr>
        <w:tabs>
          <w:tab w:val="left" w:leader="underscore" w:pos="9639"/>
        </w:tabs>
        <w:spacing w:after="0" w:line="240" w:lineRule="auto"/>
        <w:jc w:val="both"/>
        <w:rPr>
          <w:rFonts w:cs="Calibri"/>
        </w:rPr>
      </w:pPr>
    </w:p>
    <w:p w14:paraId="3081D7EF" w14:textId="12402F8D" w:rsidR="00FA7E3D" w:rsidRPr="004F1B56" w:rsidRDefault="00FA7E3D" w:rsidP="00FA7E3D">
      <w:pPr>
        <w:tabs>
          <w:tab w:val="left" w:leader="underscore" w:pos="9639"/>
        </w:tabs>
        <w:spacing w:after="0" w:line="240" w:lineRule="auto"/>
        <w:jc w:val="both"/>
        <w:rPr>
          <w:rFonts w:cs="Calibri"/>
          <w:b/>
          <w:color w:val="000000" w:themeColor="text1"/>
        </w:rPr>
      </w:pPr>
      <w:r>
        <w:rPr>
          <w:rFonts w:cs="Calibri"/>
        </w:rPr>
        <w:t xml:space="preserve">El SDIF, está constituido como persona moral con fines no lucrativos. Con actividad principal de </w:t>
      </w:r>
      <w:r w:rsidRPr="00FA7E3D">
        <w:rPr>
          <w:rFonts w:cs="Calibri"/>
          <w:b/>
        </w:rPr>
        <w:t>“</w:t>
      </w:r>
      <w:r w:rsidRPr="004F1B56">
        <w:rPr>
          <w:rFonts w:asciiTheme="minorHAnsi" w:hAnsiTheme="minorHAnsi" w:cstheme="minorHAnsi"/>
          <w:b/>
          <w:color w:val="000000" w:themeColor="text1"/>
          <w:sz w:val="20"/>
          <w:szCs w:val="20"/>
        </w:rPr>
        <w:t>Orfanatos y otras residencias de asistencia pertenecientes al sector público.”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5127B78" w14:textId="77777777" w:rsidR="004F1B56" w:rsidRDefault="004F1B56" w:rsidP="00CB41C4">
      <w:pPr>
        <w:tabs>
          <w:tab w:val="left" w:leader="underscore" w:pos="9639"/>
        </w:tabs>
        <w:spacing w:after="0" w:line="240" w:lineRule="auto"/>
        <w:jc w:val="both"/>
        <w:rPr>
          <w:rFonts w:cs="Calibri"/>
        </w:rPr>
      </w:pPr>
    </w:p>
    <w:p w14:paraId="61FAB9FB" w14:textId="77777777" w:rsidR="00AD470C" w:rsidRDefault="00FA7E3D" w:rsidP="00CB41C4">
      <w:pPr>
        <w:tabs>
          <w:tab w:val="left" w:leader="underscore" w:pos="9639"/>
        </w:tabs>
        <w:spacing w:after="0" w:line="240" w:lineRule="auto"/>
        <w:jc w:val="both"/>
        <w:rPr>
          <w:rFonts w:cs="Calibri"/>
        </w:rPr>
      </w:pPr>
      <w:r>
        <w:rPr>
          <w:rFonts w:cs="Calibri"/>
        </w:rPr>
        <w:t xml:space="preserve">El SDIF, </w:t>
      </w:r>
      <w:r w:rsidR="004F1B56">
        <w:rPr>
          <w:rFonts w:cs="Calibri"/>
        </w:rPr>
        <w:t>tiene la obligación de retener y enterar de manera mensual los conceptos de Retenciones mensuales por conceptos de ISR sobre sueldos y salarios.</w:t>
      </w:r>
      <w:r w:rsidR="00AD470C">
        <w:rPr>
          <w:rFonts w:cs="Calibri"/>
        </w:rPr>
        <w:t xml:space="preserve"> (IMPUESTOS FEDERALES)</w:t>
      </w:r>
    </w:p>
    <w:p w14:paraId="6268EF76" w14:textId="335E1FB3" w:rsidR="007D1E76" w:rsidRPr="00E74967" w:rsidRDefault="00AD470C" w:rsidP="00CB41C4">
      <w:pPr>
        <w:tabs>
          <w:tab w:val="left" w:leader="underscore" w:pos="9639"/>
        </w:tabs>
        <w:spacing w:after="0" w:line="240" w:lineRule="auto"/>
        <w:jc w:val="both"/>
        <w:rPr>
          <w:rFonts w:cs="Calibri"/>
        </w:rPr>
      </w:pPr>
      <w:r>
        <w:rPr>
          <w:rFonts w:cs="Calibri"/>
        </w:rPr>
        <w:t>Asi como pago mensual de impuesto sobre nómina e impuesto cedular (IMPUESTOS ESTATALES).</w:t>
      </w:r>
      <w:r w:rsidR="004F1B56">
        <w:rPr>
          <w:rFonts w:cs="Calibri"/>
        </w:rPr>
        <w:t xml:space="preserve"> </w:t>
      </w:r>
    </w:p>
    <w:p w14:paraId="71177AD7" w14:textId="66E7800D" w:rsidR="00810CB8" w:rsidRDefault="00810CB8">
      <w:pPr>
        <w:spacing w:after="0" w:line="240" w:lineRule="auto"/>
        <w:rPr>
          <w:rFonts w:cs="Calibri"/>
          <w:b/>
        </w:rPr>
      </w:pPr>
      <w:r>
        <w:rPr>
          <w:rFonts w:cs="Calibri"/>
          <w:b/>
        </w:rPr>
        <w:br w:type="page"/>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4208E193" w:rsidR="007D1E76" w:rsidRPr="00E74967" w:rsidRDefault="007D1E76" w:rsidP="00810CB8">
      <w:pPr>
        <w:tabs>
          <w:tab w:val="left" w:leader="underscore" w:pos="9639"/>
        </w:tabs>
        <w:spacing w:after="0" w:line="240" w:lineRule="auto"/>
        <w:jc w:val="both"/>
        <w:rPr>
          <w:rFonts w:cs="Calibri"/>
        </w:rPr>
      </w:pPr>
    </w:p>
    <w:p w14:paraId="5E2304C5" w14:textId="5AB97B77" w:rsidR="00810CB8" w:rsidRDefault="003A3FCD" w:rsidP="001E6F79">
      <w:pPr>
        <w:tabs>
          <w:tab w:val="left" w:leader="underscore" w:pos="9639"/>
        </w:tabs>
        <w:spacing w:after="0" w:line="240" w:lineRule="auto"/>
        <w:jc w:val="center"/>
        <w:rPr>
          <w:rFonts w:cs="Calibri"/>
        </w:rPr>
      </w:pPr>
      <w:r>
        <w:rPr>
          <w:rFonts w:cs="Calibri"/>
          <w:noProof/>
          <w:lang w:eastAsia="es-MX"/>
        </w:rPr>
        <w:drawing>
          <wp:inline distT="0" distB="0" distL="0" distR="0" wp14:anchorId="5460AB1F" wp14:editId="3EEA66D5">
            <wp:extent cx="7707630" cy="5960627"/>
            <wp:effectExtent l="0" t="254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730984" cy="5978688"/>
                    </a:xfrm>
                    <a:prstGeom prst="rect">
                      <a:avLst/>
                    </a:prstGeom>
                    <a:noFill/>
                  </pic:spPr>
                </pic:pic>
              </a:graphicData>
            </a:graphic>
          </wp:inline>
        </w:drawing>
      </w:r>
    </w:p>
    <w:p w14:paraId="0E495462" w14:textId="77777777" w:rsidR="001E6F79" w:rsidRDefault="001E6F79" w:rsidP="00CB41C4">
      <w:pPr>
        <w:tabs>
          <w:tab w:val="left" w:leader="underscore" w:pos="9639"/>
        </w:tabs>
        <w:spacing w:after="0" w:line="240" w:lineRule="auto"/>
        <w:jc w:val="both"/>
        <w:rPr>
          <w:rFonts w:cs="Calibri"/>
        </w:rPr>
      </w:pPr>
    </w:p>
    <w:p w14:paraId="30A4EDC2" w14:textId="36BF8006"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7BB6AA6" w14:textId="77777777" w:rsidR="00AD470C" w:rsidRDefault="00AD470C" w:rsidP="00CB41C4">
      <w:pPr>
        <w:tabs>
          <w:tab w:val="left" w:leader="underscore" w:pos="9639"/>
        </w:tabs>
        <w:spacing w:after="0" w:line="240" w:lineRule="auto"/>
        <w:jc w:val="both"/>
        <w:rPr>
          <w:rFonts w:cs="Calibri"/>
        </w:rPr>
      </w:pPr>
    </w:p>
    <w:p w14:paraId="5BF730AE" w14:textId="1EE1614D" w:rsidR="00AD470C" w:rsidRPr="00E74967" w:rsidRDefault="00AD470C" w:rsidP="00CB41C4">
      <w:pPr>
        <w:tabs>
          <w:tab w:val="left" w:leader="underscore" w:pos="9639"/>
        </w:tabs>
        <w:spacing w:after="0" w:line="240" w:lineRule="auto"/>
        <w:jc w:val="both"/>
        <w:rPr>
          <w:rFonts w:cs="Calibri"/>
        </w:rPr>
      </w:pPr>
      <w:r>
        <w:rPr>
          <w:rFonts w:cs="Calibri"/>
        </w:rPr>
        <w:t>Actualmente no realiza este tipo de operaciones.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71D294" w14:textId="77777777" w:rsidR="00AD470C" w:rsidRPr="00AD470C" w:rsidRDefault="00AD470C" w:rsidP="00AD470C">
      <w:pPr>
        <w:spacing w:after="0" w:line="240" w:lineRule="auto"/>
        <w:jc w:val="both"/>
        <w:rPr>
          <w:rFonts w:asciiTheme="minorHAnsi" w:hAnsiTheme="minorHAnsi" w:cstheme="minorHAnsi"/>
          <w:color w:val="000000" w:themeColor="text1"/>
          <w:sz w:val="20"/>
          <w:szCs w:val="20"/>
        </w:rPr>
      </w:pPr>
      <w:r w:rsidRPr="00AD470C">
        <w:rPr>
          <w:rFonts w:asciiTheme="minorHAnsi" w:hAnsiTheme="minorHAnsi" w:cstheme="minorHAnsi"/>
          <w:color w:val="000000" w:themeColor="text1"/>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58B00679" w14:textId="77777777" w:rsidR="007D1E76" w:rsidRPr="00AD470C" w:rsidRDefault="007D1E76" w:rsidP="00CB41C4">
      <w:pPr>
        <w:tabs>
          <w:tab w:val="left" w:leader="underscore" w:pos="9639"/>
        </w:tabs>
        <w:spacing w:after="0" w:line="240" w:lineRule="auto"/>
        <w:jc w:val="both"/>
        <w:rPr>
          <w:rFonts w:cs="Calibri"/>
          <w:color w:val="000000" w:themeColor="text1"/>
        </w:rPr>
      </w:pPr>
    </w:p>
    <w:p w14:paraId="73F52BD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E69E312" w14:textId="77777777" w:rsidR="00AD470C" w:rsidRPr="00AD470C" w:rsidRDefault="00AD470C" w:rsidP="00CB41C4">
      <w:pPr>
        <w:tabs>
          <w:tab w:val="left" w:leader="underscore" w:pos="9639"/>
        </w:tabs>
        <w:spacing w:after="0" w:line="240" w:lineRule="auto"/>
        <w:jc w:val="both"/>
        <w:rPr>
          <w:rFonts w:cs="Calibri"/>
          <w:color w:val="000000" w:themeColor="text1"/>
        </w:rPr>
      </w:pPr>
    </w:p>
    <w:p w14:paraId="339E78A1" w14:textId="77777777" w:rsidR="00AD470C" w:rsidRPr="00AD470C" w:rsidRDefault="00AD470C" w:rsidP="00AD470C">
      <w:pPr>
        <w:spacing w:after="0" w:line="240" w:lineRule="auto"/>
        <w:jc w:val="both"/>
        <w:rPr>
          <w:rFonts w:asciiTheme="minorHAnsi" w:hAnsiTheme="minorHAnsi" w:cstheme="minorHAnsi"/>
          <w:color w:val="000000" w:themeColor="text1"/>
          <w:sz w:val="20"/>
          <w:szCs w:val="20"/>
        </w:rPr>
      </w:pPr>
      <w:r w:rsidRPr="00AD470C">
        <w:rPr>
          <w:rFonts w:asciiTheme="minorHAnsi" w:hAnsiTheme="minorHAnsi" w:cstheme="minorHAnsi"/>
          <w:color w:val="000000" w:themeColor="text1"/>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61867601" w14:textId="77777777" w:rsidR="00AD470C" w:rsidRPr="00727B80" w:rsidRDefault="00AD470C" w:rsidP="00AD470C">
      <w:pPr>
        <w:tabs>
          <w:tab w:val="left" w:leader="underscore" w:pos="9639"/>
        </w:tabs>
        <w:spacing w:after="0" w:line="240" w:lineRule="auto"/>
        <w:jc w:val="both"/>
        <w:rPr>
          <w:rFonts w:cs="Calibri"/>
          <w:color w:val="2E74B5" w:themeColor="accent1" w:themeShade="BF"/>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436F4AD" w14:textId="77777777" w:rsidR="00AD470C" w:rsidRDefault="0054701E" w:rsidP="00AD470C">
      <w:pPr>
        <w:spacing w:after="0" w:line="240" w:lineRule="auto"/>
        <w:jc w:val="both"/>
        <w:rPr>
          <w:rFonts w:cs="Calibri"/>
        </w:rPr>
      </w:pPr>
      <w:r>
        <w:rPr>
          <w:rFonts w:cs="Calibri"/>
        </w:rPr>
        <w:tab/>
      </w:r>
    </w:p>
    <w:p w14:paraId="64D46BC3" w14:textId="0B556CB7" w:rsidR="00AD470C" w:rsidRDefault="00AD470C" w:rsidP="00AD470C">
      <w:pPr>
        <w:spacing w:after="0" w:line="240" w:lineRule="auto"/>
        <w:jc w:val="both"/>
        <w:rPr>
          <w:rFonts w:asciiTheme="minorHAnsi" w:hAnsiTheme="minorHAnsi" w:cstheme="minorHAnsi"/>
          <w:color w:val="000000" w:themeColor="text1"/>
          <w:sz w:val="20"/>
          <w:szCs w:val="20"/>
        </w:rPr>
      </w:pPr>
      <w:r w:rsidRPr="00AD470C">
        <w:rPr>
          <w:rFonts w:asciiTheme="minorHAnsi" w:hAnsiTheme="minorHAnsi" w:cstheme="minorHAnsi"/>
          <w:color w:val="000000" w:themeColor="text1"/>
          <w:sz w:val="20"/>
          <w:szCs w:val="20"/>
        </w:rPr>
        <w:t>1.-Sustancia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6738501E" w14:textId="77777777" w:rsidR="00AD470C" w:rsidRPr="00AD470C" w:rsidRDefault="00AD470C" w:rsidP="00AD470C">
      <w:pPr>
        <w:spacing w:after="0" w:line="240" w:lineRule="auto"/>
        <w:jc w:val="both"/>
        <w:rPr>
          <w:rFonts w:asciiTheme="minorHAnsi" w:hAnsiTheme="minorHAnsi" w:cstheme="minorHAnsi"/>
          <w:color w:val="000000" w:themeColor="text1"/>
          <w:sz w:val="20"/>
          <w:szCs w:val="20"/>
        </w:rPr>
      </w:pPr>
    </w:p>
    <w:p w14:paraId="7989D893" w14:textId="20CC9DF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8F9ABC" w14:textId="77777777" w:rsidR="008B7A3E" w:rsidRDefault="008B7A3E" w:rsidP="008B7A3E">
      <w:pPr>
        <w:spacing w:after="0" w:line="240" w:lineRule="auto"/>
        <w:jc w:val="both"/>
        <w:rPr>
          <w:rFonts w:asciiTheme="minorHAnsi" w:hAnsiTheme="minorHAnsi" w:cstheme="minorHAnsi"/>
          <w:color w:val="2E74B5" w:themeColor="accent1" w:themeShade="BF"/>
          <w:sz w:val="20"/>
          <w:szCs w:val="20"/>
        </w:rPr>
      </w:pPr>
    </w:p>
    <w:p w14:paraId="2715EE98" w14:textId="77777777" w:rsidR="008B7A3E" w:rsidRPr="008B7A3E" w:rsidRDefault="008B7A3E" w:rsidP="008B7A3E">
      <w:pPr>
        <w:spacing w:after="0" w:line="240" w:lineRule="auto"/>
        <w:jc w:val="both"/>
        <w:rPr>
          <w:rFonts w:asciiTheme="minorHAnsi" w:hAnsiTheme="minorHAnsi" w:cstheme="minorHAnsi"/>
          <w:color w:val="000000" w:themeColor="text1"/>
          <w:sz w:val="20"/>
          <w:szCs w:val="20"/>
        </w:rPr>
      </w:pPr>
      <w:r w:rsidRPr="008B7A3E">
        <w:rPr>
          <w:rFonts w:asciiTheme="minorHAnsi" w:hAnsiTheme="minorHAnsi" w:cstheme="minorHAnsi"/>
          <w:color w:val="000000" w:themeColor="text1"/>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14:paraId="0F6F0E98" w14:textId="77777777" w:rsidR="008B7A3E" w:rsidRPr="00727B80" w:rsidRDefault="008B7A3E" w:rsidP="008B7A3E">
      <w:pPr>
        <w:tabs>
          <w:tab w:val="left" w:leader="underscore" w:pos="9639"/>
        </w:tabs>
        <w:spacing w:after="0" w:line="240" w:lineRule="auto"/>
        <w:jc w:val="both"/>
        <w:rPr>
          <w:rFonts w:cs="Calibri"/>
          <w:color w:val="2E74B5" w:themeColor="accent1" w:themeShade="BF"/>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2927DB3" w14:textId="77777777" w:rsidR="008B7A3E" w:rsidRPr="008B7A3E" w:rsidRDefault="008B7A3E" w:rsidP="008B7A3E">
      <w:pPr>
        <w:spacing w:after="0" w:line="240" w:lineRule="auto"/>
        <w:jc w:val="both"/>
        <w:rPr>
          <w:rFonts w:asciiTheme="minorHAnsi" w:hAnsiTheme="minorHAnsi" w:cstheme="minorHAnsi"/>
          <w:color w:val="000000" w:themeColor="text1"/>
          <w:sz w:val="20"/>
          <w:szCs w:val="20"/>
        </w:rPr>
      </w:pPr>
      <w:r w:rsidRPr="008B7A3E">
        <w:rPr>
          <w:rFonts w:asciiTheme="minorHAnsi" w:hAnsiTheme="minorHAnsi" w:cstheme="minorHAnsi"/>
          <w:color w:val="000000" w:themeColor="text1"/>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3D6DBE3" w14:textId="77777777" w:rsidR="008B7A3E" w:rsidRDefault="008B7A3E" w:rsidP="008B7A3E">
      <w:pPr>
        <w:spacing w:after="0" w:line="240" w:lineRule="auto"/>
        <w:jc w:val="both"/>
        <w:rPr>
          <w:rFonts w:asciiTheme="minorHAnsi" w:hAnsiTheme="minorHAnsi" w:cstheme="minorHAnsi"/>
          <w:color w:val="000000" w:themeColor="text1"/>
          <w:sz w:val="20"/>
          <w:szCs w:val="20"/>
        </w:rPr>
      </w:pPr>
    </w:p>
    <w:p w14:paraId="0C72109E" w14:textId="77777777" w:rsidR="008B7A3E" w:rsidRPr="008B7A3E" w:rsidRDefault="008B7A3E" w:rsidP="008B7A3E">
      <w:pPr>
        <w:spacing w:after="0" w:line="240" w:lineRule="auto"/>
        <w:jc w:val="both"/>
        <w:rPr>
          <w:rFonts w:asciiTheme="minorHAnsi" w:hAnsiTheme="minorHAnsi" w:cstheme="minorHAnsi"/>
          <w:color w:val="000000" w:themeColor="text1"/>
          <w:sz w:val="20"/>
          <w:szCs w:val="20"/>
        </w:rPr>
      </w:pPr>
      <w:r w:rsidRPr="008B7A3E">
        <w:rPr>
          <w:rFonts w:asciiTheme="minorHAnsi" w:hAnsiTheme="minorHAnsi" w:cstheme="minorHAnsi"/>
          <w:color w:val="000000" w:themeColor="text1"/>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87CB920" w14:textId="77777777" w:rsidR="008B7A3E" w:rsidRDefault="008B7A3E" w:rsidP="008B7A3E">
      <w:pPr>
        <w:spacing w:after="0" w:line="240" w:lineRule="auto"/>
        <w:jc w:val="both"/>
        <w:rPr>
          <w:rFonts w:asciiTheme="minorHAnsi" w:hAnsiTheme="minorHAnsi" w:cstheme="minorHAnsi"/>
          <w:color w:val="000000" w:themeColor="text1"/>
          <w:sz w:val="20"/>
          <w:szCs w:val="20"/>
        </w:rPr>
      </w:pPr>
    </w:p>
    <w:p w14:paraId="0EF42D5B" w14:textId="77777777" w:rsidR="008B7A3E" w:rsidRPr="008B7A3E" w:rsidRDefault="008B7A3E" w:rsidP="008B7A3E">
      <w:pPr>
        <w:spacing w:after="0" w:line="240" w:lineRule="auto"/>
        <w:jc w:val="both"/>
        <w:rPr>
          <w:rFonts w:asciiTheme="minorHAnsi" w:hAnsiTheme="minorHAnsi" w:cstheme="minorHAnsi"/>
          <w:color w:val="000000" w:themeColor="text1"/>
          <w:sz w:val="20"/>
          <w:szCs w:val="20"/>
        </w:rPr>
      </w:pPr>
      <w:r w:rsidRPr="008B7A3E">
        <w:rPr>
          <w:rFonts w:asciiTheme="minorHAnsi" w:hAnsiTheme="minorHAnsi" w:cstheme="minorHAnsi"/>
          <w:color w:val="000000" w:themeColor="text1"/>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69D2CB4D" w14:textId="77777777" w:rsidR="008B7A3E" w:rsidRDefault="008B7A3E" w:rsidP="008B7A3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Al periodo no se han utilizado métodos de actualización para el activo, pasivo y hacienda pública.</w:t>
      </w:r>
    </w:p>
    <w:p w14:paraId="56CE4BA6" w14:textId="77777777" w:rsidR="008B7A3E" w:rsidRPr="00727B80" w:rsidRDefault="008B7A3E" w:rsidP="008B7A3E">
      <w:pPr>
        <w:spacing w:after="0" w:line="240" w:lineRule="auto"/>
        <w:jc w:val="both"/>
        <w:rPr>
          <w:rFonts w:asciiTheme="minorHAnsi" w:hAnsiTheme="minorHAnsi" w:cstheme="minorHAnsi"/>
          <w:color w:val="2E74B5" w:themeColor="accent1" w:themeShade="BF"/>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A4D282D" w14:textId="77777777" w:rsidR="008B7A3E" w:rsidRDefault="008B7A3E" w:rsidP="008B7A3E">
      <w:pPr>
        <w:spacing w:after="0" w:line="240" w:lineRule="auto"/>
        <w:jc w:val="both"/>
        <w:rPr>
          <w:rFonts w:asciiTheme="minorHAnsi" w:hAnsiTheme="minorHAnsi" w:cstheme="minorHAnsi"/>
          <w:color w:val="2E74B5" w:themeColor="accent1" w:themeShade="BF"/>
          <w:sz w:val="20"/>
          <w:szCs w:val="20"/>
        </w:rPr>
      </w:pPr>
    </w:p>
    <w:p w14:paraId="7A78E098" w14:textId="77777777" w:rsidR="008B7A3E" w:rsidRPr="00727B80" w:rsidRDefault="008B7A3E" w:rsidP="008B7A3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Al periodo no se han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9AD126F" w14:textId="77777777" w:rsidR="008B7A3E" w:rsidRDefault="007D1E76" w:rsidP="008B7A3E">
      <w:pPr>
        <w:tabs>
          <w:tab w:val="left" w:leader="underscore" w:pos="9639"/>
        </w:tabs>
        <w:spacing w:after="0" w:line="240" w:lineRule="auto"/>
        <w:jc w:val="both"/>
        <w:rPr>
          <w:rFonts w:asciiTheme="minorHAnsi" w:hAnsiTheme="minorHAnsi" w:cstheme="minorHAnsi"/>
          <w:color w:val="2E74B5" w:themeColor="accent1" w:themeShade="BF"/>
          <w:sz w:val="20"/>
          <w:szCs w:val="20"/>
        </w:rPr>
      </w:pPr>
      <w:r w:rsidRPr="00E74967">
        <w:rPr>
          <w:rFonts w:cs="Calibri"/>
          <w:b/>
        </w:rPr>
        <w:t>c)</w:t>
      </w:r>
      <w:r w:rsidRPr="00E74967">
        <w:rPr>
          <w:rFonts w:cs="Calibri"/>
        </w:rPr>
        <w:t xml:space="preserve"> Método de valuación de la inversión en acciones de Compañías subsidiarias no consolidadas y asociadas:</w:t>
      </w:r>
      <w:r w:rsidR="008B7A3E" w:rsidRPr="00727B80">
        <w:rPr>
          <w:rFonts w:asciiTheme="minorHAnsi" w:hAnsiTheme="minorHAnsi" w:cstheme="minorHAnsi"/>
          <w:color w:val="2E74B5" w:themeColor="accent1" w:themeShade="BF"/>
          <w:sz w:val="20"/>
          <w:szCs w:val="20"/>
        </w:rPr>
        <w:t xml:space="preserve"> </w:t>
      </w:r>
    </w:p>
    <w:p w14:paraId="0E33ED24" w14:textId="77777777" w:rsidR="008B7A3E" w:rsidRDefault="008B7A3E" w:rsidP="008B7A3E">
      <w:pPr>
        <w:tabs>
          <w:tab w:val="left" w:leader="underscore" w:pos="9639"/>
        </w:tabs>
        <w:spacing w:after="0" w:line="240" w:lineRule="auto"/>
        <w:jc w:val="both"/>
        <w:rPr>
          <w:rFonts w:asciiTheme="minorHAnsi" w:hAnsiTheme="minorHAnsi" w:cstheme="minorHAnsi"/>
          <w:color w:val="2E74B5" w:themeColor="accent1" w:themeShade="BF"/>
          <w:sz w:val="20"/>
          <w:szCs w:val="20"/>
        </w:rPr>
      </w:pPr>
    </w:p>
    <w:p w14:paraId="6DC0ECA0" w14:textId="0FA8F6BB" w:rsidR="008B7A3E" w:rsidRPr="008B7A3E" w:rsidRDefault="008B7A3E" w:rsidP="008B7A3E">
      <w:pPr>
        <w:tabs>
          <w:tab w:val="left" w:leader="underscore" w:pos="9639"/>
        </w:tabs>
        <w:spacing w:after="0" w:line="240" w:lineRule="auto"/>
        <w:jc w:val="both"/>
        <w:rPr>
          <w:rFonts w:cs="Calibri"/>
        </w:rPr>
      </w:pPr>
      <w:r w:rsidRPr="00727B80">
        <w:rPr>
          <w:rFonts w:asciiTheme="minorHAnsi" w:hAnsiTheme="minorHAnsi" w:cstheme="minorHAnsi"/>
          <w:color w:val="2E74B5" w:themeColor="accent1" w:themeShade="BF"/>
          <w:sz w:val="20"/>
          <w:szCs w:val="20"/>
        </w:rPr>
        <w:t>Al periodo no se tienen inversiones en acciones de Compañías Subsidiarias no consolidadas y asociadas.</w:t>
      </w:r>
    </w:p>
    <w:p w14:paraId="2EA4933C" w14:textId="36DA3F73"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0075FF" w14:textId="77777777" w:rsidR="004B61E3" w:rsidRDefault="004B61E3" w:rsidP="004B61E3">
      <w:pPr>
        <w:jc w:val="both"/>
        <w:rPr>
          <w:rFonts w:asciiTheme="minorHAnsi" w:hAnsiTheme="minorHAnsi" w:cstheme="minorHAnsi"/>
          <w:color w:val="2E74B5" w:themeColor="accent1" w:themeShade="BF"/>
          <w:sz w:val="20"/>
          <w:szCs w:val="20"/>
        </w:rPr>
      </w:pPr>
    </w:p>
    <w:p w14:paraId="14C56D58" w14:textId="77777777" w:rsidR="004B61E3" w:rsidRPr="00727B80" w:rsidRDefault="004B61E3" w:rsidP="004B61E3">
      <w:pPr>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Al periodo no se cuenta con inventario de mercancías para venta por lo que no se cuenta con un método de valuación y costo de lo vendido.</w:t>
      </w:r>
    </w:p>
    <w:p w14:paraId="788115A4" w14:textId="7E155E09"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F546897" w14:textId="77777777" w:rsidR="004B61E3" w:rsidRDefault="004B61E3" w:rsidP="00CB41C4">
      <w:pPr>
        <w:tabs>
          <w:tab w:val="left" w:leader="underscore" w:pos="9639"/>
        </w:tabs>
        <w:spacing w:after="0" w:line="240" w:lineRule="auto"/>
        <w:jc w:val="both"/>
        <w:rPr>
          <w:rFonts w:cs="Calibri"/>
        </w:rPr>
      </w:pPr>
    </w:p>
    <w:p w14:paraId="6636D845" w14:textId="15036C0A" w:rsidR="007D1E76" w:rsidRPr="00E74967" w:rsidRDefault="004B61E3" w:rsidP="00CB41C4">
      <w:pPr>
        <w:tabs>
          <w:tab w:val="left" w:leader="underscore" w:pos="9639"/>
        </w:tabs>
        <w:spacing w:after="0" w:line="240" w:lineRule="auto"/>
        <w:jc w:val="both"/>
        <w:rPr>
          <w:rFonts w:cs="Calibri"/>
        </w:rPr>
      </w:pPr>
      <w:r>
        <w:rPr>
          <w:rFonts w:cs="Calibri"/>
        </w:rPr>
        <w:t xml:space="preserve">A esta fecha aún no realizamos lo de la reserva actuarial </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D7548B" w14:textId="77777777" w:rsidR="004B61E3" w:rsidRDefault="004B61E3" w:rsidP="004B61E3">
      <w:pPr>
        <w:spacing w:after="0" w:line="240" w:lineRule="auto"/>
        <w:jc w:val="both"/>
        <w:rPr>
          <w:rFonts w:asciiTheme="minorHAnsi" w:hAnsiTheme="minorHAnsi" w:cstheme="minorHAnsi"/>
          <w:color w:val="2E74B5" w:themeColor="accent1" w:themeShade="BF"/>
          <w:sz w:val="20"/>
          <w:szCs w:val="20"/>
        </w:rPr>
      </w:pPr>
    </w:p>
    <w:p w14:paraId="4EC60581" w14:textId="77777777" w:rsidR="004B61E3" w:rsidRPr="00727B80" w:rsidRDefault="004B61E3" w:rsidP="004B61E3">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lastRenderedPageBreak/>
        <w:t>Al periodo no se tienen provisiones en términos financieros para ejercicio futuros, solo las que ocurren dentro del periodo.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1D32A65" w14:textId="77777777" w:rsidR="004B61E3" w:rsidRDefault="004B61E3" w:rsidP="004B61E3">
      <w:pPr>
        <w:spacing w:after="0" w:line="240" w:lineRule="auto"/>
        <w:jc w:val="both"/>
        <w:rPr>
          <w:rFonts w:asciiTheme="minorHAnsi" w:hAnsiTheme="minorHAnsi" w:cstheme="minorHAnsi"/>
          <w:color w:val="2E74B5" w:themeColor="accent1" w:themeShade="BF"/>
          <w:sz w:val="20"/>
          <w:szCs w:val="20"/>
        </w:rPr>
      </w:pPr>
    </w:p>
    <w:p w14:paraId="0666A512" w14:textId="77777777" w:rsidR="004B61E3" w:rsidRPr="00727B80" w:rsidRDefault="004B61E3" w:rsidP="004B61E3">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Al periodo no se tienen reservas en términos financieros para ejercicios futuros, solo las que ocurren dentro del periodo.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5E931CA" w14:textId="77777777" w:rsidR="004B61E3" w:rsidRDefault="004B61E3" w:rsidP="004B61E3">
      <w:pPr>
        <w:jc w:val="both"/>
        <w:rPr>
          <w:rFonts w:asciiTheme="minorHAnsi" w:hAnsiTheme="minorHAnsi" w:cstheme="minorHAnsi"/>
          <w:color w:val="2E74B5" w:themeColor="accent1" w:themeShade="BF"/>
          <w:sz w:val="20"/>
          <w:szCs w:val="20"/>
        </w:rPr>
      </w:pPr>
    </w:p>
    <w:p w14:paraId="63D2B7FC" w14:textId="77777777" w:rsidR="004B61E3" w:rsidRPr="00727B80" w:rsidRDefault="004B61E3" w:rsidP="004B61E3">
      <w:pPr>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A6F4245" w14:textId="77777777" w:rsidR="004B61E3" w:rsidRDefault="004B61E3" w:rsidP="004B61E3">
      <w:pPr>
        <w:spacing w:after="0" w:line="240" w:lineRule="auto"/>
        <w:jc w:val="both"/>
        <w:rPr>
          <w:rFonts w:asciiTheme="minorHAnsi" w:hAnsiTheme="minorHAnsi" w:cstheme="minorHAnsi"/>
          <w:color w:val="2E74B5" w:themeColor="accent1" w:themeShade="BF"/>
          <w:sz w:val="20"/>
          <w:szCs w:val="20"/>
        </w:rPr>
      </w:pPr>
    </w:p>
    <w:p w14:paraId="58F5028A" w14:textId="77777777" w:rsidR="004B61E3" w:rsidRPr="00727B80" w:rsidRDefault="004B61E3" w:rsidP="004B61E3">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14:paraId="294E3E9D" w14:textId="77777777" w:rsidR="004B61E3" w:rsidRDefault="004B61E3" w:rsidP="00CB41C4">
      <w:pPr>
        <w:tabs>
          <w:tab w:val="left" w:leader="underscore" w:pos="9639"/>
        </w:tabs>
        <w:spacing w:after="0" w:line="240" w:lineRule="auto"/>
        <w:jc w:val="both"/>
        <w:rPr>
          <w:rFonts w:cs="Calibri"/>
          <w:b/>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5ADE1F4" w:rsidR="007D1E76" w:rsidRPr="000F3D90" w:rsidRDefault="004B61E3" w:rsidP="00CB41C4">
      <w:pPr>
        <w:tabs>
          <w:tab w:val="left" w:leader="underscore" w:pos="9639"/>
        </w:tabs>
        <w:spacing w:after="0" w:line="240" w:lineRule="auto"/>
        <w:jc w:val="both"/>
        <w:rPr>
          <w:rFonts w:asciiTheme="minorHAnsi" w:hAnsiTheme="minorHAnsi" w:cstheme="minorHAnsi"/>
          <w:color w:val="2E74B5" w:themeColor="accent1" w:themeShade="BF"/>
          <w:sz w:val="20"/>
          <w:szCs w:val="20"/>
        </w:rPr>
      </w:pPr>
      <w:r w:rsidRPr="000F3D90">
        <w:rPr>
          <w:rFonts w:asciiTheme="minorHAnsi" w:hAnsiTheme="minorHAnsi" w:cstheme="minorHAnsi"/>
          <w:color w:val="2E74B5" w:themeColor="accent1" w:themeShade="BF"/>
          <w:sz w:val="20"/>
          <w:szCs w:val="20"/>
        </w:rPr>
        <w:t xml:space="preserve">Para este periodo no se </w:t>
      </w:r>
      <w:r w:rsidR="000F3D90" w:rsidRPr="000F3D90">
        <w:rPr>
          <w:rFonts w:asciiTheme="minorHAnsi" w:hAnsiTheme="minorHAnsi" w:cstheme="minorHAnsi"/>
          <w:color w:val="2E74B5" w:themeColor="accent1" w:themeShade="BF"/>
          <w:sz w:val="20"/>
          <w:szCs w:val="20"/>
        </w:rPr>
        <w:t>real</w:t>
      </w:r>
      <w:r w:rsidR="000F3D90">
        <w:rPr>
          <w:rFonts w:asciiTheme="minorHAnsi" w:hAnsiTheme="minorHAnsi" w:cstheme="minorHAnsi"/>
          <w:color w:val="2E74B5" w:themeColor="accent1" w:themeShade="BF"/>
          <w:sz w:val="20"/>
          <w:szCs w:val="20"/>
        </w:rPr>
        <w:t>i</w:t>
      </w:r>
      <w:r w:rsidR="000F3D90" w:rsidRPr="000F3D90">
        <w:rPr>
          <w:rFonts w:asciiTheme="minorHAnsi" w:hAnsiTheme="minorHAnsi" w:cstheme="minorHAnsi"/>
          <w:color w:val="2E74B5" w:themeColor="accent1" w:themeShade="BF"/>
          <w:sz w:val="20"/>
          <w:szCs w:val="20"/>
        </w:rPr>
        <w:t>zó</w:t>
      </w:r>
      <w:r w:rsidRPr="000F3D90">
        <w:rPr>
          <w:rFonts w:asciiTheme="minorHAnsi" w:hAnsiTheme="minorHAnsi" w:cstheme="minorHAnsi"/>
          <w:color w:val="2E74B5" w:themeColor="accent1" w:themeShade="BF"/>
          <w:sz w:val="20"/>
          <w:szCs w:val="20"/>
        </w:rPr>
        <w:t xml:space="preserve"> depuración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887069D" w14:textId="77777777" w:rsidR="008C73F7" w:rsidRDefault="008C73F7" w:rsidP="008C73F7">
      <w:pPr>
        <w:spacing w:after="0" w:line="240" w:lineRule="auto"/>
        <w:jc w:val="both"/>
        <w:rPr>
          <w:rFonts w:asciiTheme="minorHAnsi" w:hAnsiTheme="minorHAnsi" w:cstheme="minorHAnsi"/>
          <w:color w:val="2E74B5" w:themeColor="accent1" w:themeShade="BF"/>
          <w:sz w:val="20"/>
          <w:szCs w:val="20"/>
        </w:rPr>
      </w:pPr>
    </w:p>
    <w:p w14:paraId="79E09A29" w14:textId="77777777" w:rsidR="008C73F7" w:rsidRPr="00727B80" w:rsidRDefault="008C73F7" w:rsidP="008C73F7">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81A046D" w14:textId="77777777" w:rsidR="008C73F7" w:rsidRDefault="008C73F7" w:rsidP="008C73F7">
      <w:pPr>
        <w:spacing w:after="0" w:line="240" w:lineRule="auto"/>
        <w:jc w:val="both"/>
        <w:rPr>
          <w:rFonts w:asciiTheme="minorHAnsi" w:hAnsiTheme="minorHAnsi" w:cstheme="minorHAnsi"/>
          <w:color w:val="2E74B5" w:themeColor="accent1" w:themeShade="BF"/>
          <w:sz w:val="20"/>
          <w:szCs w:val="20"/>
        </w:rPr>
      </w:pPr>
    </w:p>
    <w:p w14:paraId="2F158848" w14:textId="77777777" w:rsidR="008C73F7" w:rsidRPr="00727B80" w:rsidRDefault="008C73F7" w:rsidP="008C73F7">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99C7422" w14:textId="77777777" w:rsidR="008C73F7" w:rsidRDefault="008C73F7" w:rsidP="008C73F7">
      <w:pPr>
        <w:spacing w:after="0" w:line="240" w:lineRule="auto"/>
        <w:jc w:val="both"/>
        <w:rPr>
          <w:rFonts w:asciiTheme="minorHAnsi" w:hAnsiTheme="minorHAnsi" w:cstheme="minorHAnsi"/>
          <w:color w:val="2E74B5" w:themeColor="accent1" w:themeShade="BF"/>
          <w:sz w:val="20"/>
          <w:szCs w:val="20"/>
        </w:rPr>
      </w:pPr>
    </w:p>
    <w:p w14:paraId="4928B45F" w14:textId="77777777" w:rsidR="008C73F7" w:rsidRPr="00727B80" w:rsidRDefault="008C73F7" w:rsidP="008C73F7">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256BA9C" w14:textId="77777777" w:rsidR="008C73F7" w:rsidRDefault="008C73F7" w:rsidP="008C73F7">
      <w:pPr>
        <w:spacing w:after="0" w:line="240" w:lineRule="auto"/>
        <w:jc w:val="both"/>
        <w:rPr>
          <w:rFonts w:asciiTheme="minorHAnsi" w:hAnsiTheme="minorHAnsi" w:cstheme="minorHAnsi"/>
          <w:color w:val="2E74B5" w:themeColor="accent1" w:themeShade="BF"/>
          <w:sz w:val="20"/>
          <w:szCs w:val="20"/>
        </w:rPr>
      </w:pPr>
    </w:p>
    <w:p w14:paraId="42200B1A" w14:textId="77777777" w:rsidR="008C73F7" w:rsidRPr="00727B80" w:rsidRDefault="008C73F7" w:rsidP="008C73F7">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441EE88" w14:textId="77777777" w:rsidR="008C73F7" w:rsidRPr="00727B80" w:rsidRDefault="008C73F7" w:rsidP="008C73F7">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58154E3" w14:textId="77777777" w:rsidR="00CA4BD9" w:rsidRPr="00E74967" w:rsidRDefault="00CA4BD9" w:rsidP="00CB41C4">
      <w:pPr>
        <w:tabs>
          <w:tab w:val="left" w:leader="underscore" w:pos="9639"/>
        </w:tabs>
        <w:spacing w:after="0" w:line="240" w:lineRule="auto"/>
        <w:jc w:val="both"/>
        <w:rPr>
          <w:rFonts w:cs="Calibri"/>
        </w:rPr>
      </w:pPr>
    </w:p>
    <w:p w14:paraId="33300D77" w14:textId="77777777" w:rsidR="00CA4BD9" w:rsidRDefault="00CA4BD9" w:rsidP="00CA4BD9">
      <w:pPr>
        <w:tabs>
          <w:tab w:val="left" w:leader="underscore" w:pos="9639"/>
        </w:tabs>
        <w:spacing w:after="0" w:line="240" w:lineRule="auto"/>
        <w:jc w:val="both"/>
        <w:rPr>
          <w:rFonts w:cs="Calibri"/>
          <w:color w:val="2E74B5" w:themeColor="accent1" w:themeShade="BF"/>
        </w:rPr>
      </w:pPr>
      <w:r w:rsidRPr="00727B80">
        <w:rPr>
          <w:rFonts w:cs="Calibri"/>
          <w:color w:val="2E74B5" w:themeColor="accent1" w:themeShade="BF"/>
        </w:rPr>
        <w:t>El sistema (SAP) realiza el cálculo de la depreciación de los diferentes activos atendiendo a la normativa que aplique para los activos, que en este caso corresponde a las tasas de depreciación que marca el CONAC y también están reflejadas en las notas de desglose y de memoria del presente periodo.</w:t>
      </w:r>
    </w:p>
    <w:p w14:paraId="34962157" w14:textId="77777777" w:rsidR="00314E12" w:rsidRPr="00727B80" w:rsidRDefault="00314E12" w:rsidP="00CA4BD9">
      <w:pPr>
        <w:tabs>
          <w:tab w:val="left" w:leader="underscore" w:pos="9639"/>
        </w:tabs>
        <w:spacing w:after="0" w:line="240" w:lineRule="auto"/>
        <w:jc w:val="both"/>
        <w:rPr>
          <w:rFonts w:cs="Calibri"/>
          <w:color w:val="2E74B5" w:themeColor="accent1" w:themeShade="BF"/>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63949B6" w14:textId="77777777" w:rsidR="00314E12" w:rsidRDefault="00314E12" w:rsidP="00CB41C4">
      <w:pPr>
        <w:tabs>
          <w:tab w:val="left" w:leader="underscore" w:pos="9639"/>
        </w:tabs>
        <w:spacing w:after="0" w:line="240" w:lineRule="auto"/>
        <w:jc w:val="both"/>
        <w:rPr>
          <w:rFonts w:cs="Calibri"/>
        </w:rPr>
      </w:pPr>
    </w:p>
    <w:p w14:paraId="59A0596F" w14:textId="428728E9" w:rsidR="007D1E76" w:rsidRDefault="00314E12" w:rsidP="00CB41C4">
      <w:pPr>
        <w:tabs>
          <w:tab w:val="left" w:leader="underscore" w:pos="9639"/>
        </w:tabs>
        <w:spacing w:after="0" w:line="240" w:lineRule="auto"/>
        <w:jc w:val="both"/>
        <w:rPr>
          <w:rFonts w:cs="Calibri"/>
        </w:rPr>
      </w:pPr>
      <w:r>
        <w:rPr>
          <w:rFonts w:cs="Calibri"/>
        </w:rPr>
        <w:t>No se ha realizado a la fecha este tipo de procesos.</w:t>
      </w:r>
    </w:p>
    <w:p w14:paraId="16EDF971" w14:textId="77777777" w:rsidR="00314E12" w:rsidRPr="00E74967" w:rsidRDefault="00314E12"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218521F"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016245B1"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E89C2E7"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6A13394A"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0607198C" w14:textId="77777777" w:rsidR="00CF4BDE" w:rsidRDefault="00CF4BDE" w:rsidP="00CB41C4">
      <w:pPr>
        <w:tabs>
          <w:tab w:val="left" w:leader="underscore" w:pos="9639"/>
        </w:tabs>
        <w:spacing w:after="0" w:line="240" w:lineRule="auto"/>
        <w:jc w:val="both"/>
        <w:rPr>
          <w:rFonts w:cs="Calibri"/>
          <w:b/>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795FBE1"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596BCCA0"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6BC156C"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6FECB3D6"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58F5C04"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588EB3AA"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DA68000"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17CA0ECD" w14:textId="77777777" w:rsidR="00CF4BDE" w:rsidRPr="00727B80" w:rsidRDefault="00CF4BDE" w:rsidP="00CF4BDE">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ESTA NOTA NO LE APLICA AL SDIF</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497C7813"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p>
    <w:p w14:paraId="47174B7E"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Se hace una inversión mensualmente en un contrato de Fondos de Inversión con el Banco BBVA, esto con el fin de contar con una reserva en dinero para el pago de aguinaldo que se hace en el mes de Diciembre.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F9B4358"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21CEA4F6"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7F24BF8"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52732F81"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86B23A"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15593659"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21EA034"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3C700FE5"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87C87FC"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5BF4C6D4"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3C79A7A3" w14:textId="77777777" w:rsidR="00CF4BDE" w:rsidRDefault="00CF4BDE" w:rsidP="00CB41C4">
      <w:pPr>
        <w:tabs>
          <w:tab w:val="left" w:leader="underscore" w:pos="9639"/>
        </w:tabs>
        <w:spacing w:after="0" w:line="240" w:lineRule="auto"/>
        <w:jc w:val="both"/>
        <w:rPr>
          <w:rFonts w:cs="Calibri"/>
          <w:b/>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4C7B6B2" w14:textId="77777777" w:rsidR="00CF4BDE" w:rsidRDefault="00CF4BDE" w:rsidP="00CF4BDE">
      <w:pPr>
        <w:spacing w:after="0" w:line="240" w:lineRule="auto"/>
        <w:jc w:val="both"/>
        <w:rPr>
          <w:rFonts w:asciiTheme="minorHAnsi" w:hAnsiTheme="minorHAnsi" w:cstheme="minorHAnsi"/>
          <w:color w:val="2E74B5" w:themeColor="accent1" w:themeShade="BF"/>
          <w:sz w:val="20"/>
          <w:szCs w:val="20"/>
        </w:rPr>
      </w:pPr>
    </w:p>
    <w:p w14:paraId="2220F0EF" w14:textId="77777777" w:rsidR="00CF4BDE" w:rsidRPr="00727B80" w:rsidRDefault="00CF4BDE" w:rsidP="00CF4BDE">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16CFE036" w:rsidR="007D1E76" w:rsidRPr="00FB4853" w:rsidRDefault="007D1E76" w:rsidP="00FB4853">
      <w:pPr>
        <w:pStyle w:val="Prrafodelista"/>
        <w:numPr>
          <w:ilvl w:val="0"/>
          <w:numId w:val="3"/>
        </w:numPr>
        <w:tabs>
          <w:tab w:val="left" w:leader="underscore" w:pos="9639"/>
        </w:tabs>
        <w:spacing w:after="0" w:line="240" w:lineRule="auto"/>
        <w:jc w:val="both"/>
        <w:rPr>
          <w:rFonts w:cs="Calibri"/>
        </w:rPr>
      </w:pPr>
      <w:r w:rsidRPr="00FB4853">
        <w:rPr>
          <w:rFonts w:cs="Calibri"/>
        </w:rPr>
        <w:t>Análisis del comportamiento de la recaudación correspondiente al ente público o cualquier tipo de ingreso, de forma separada los ingresos locales de los federales:</w:t>
      </w:r>
    </w:p>
    <w:p w14:paraId="4A5BED61" w14:textId="77777777" w:rsidR="00FB4853" w:rsidRDefault="00FB4853" w:rsidP="00FB4853">
      <w:pPr>
        <w:tabs>
          <w:tab w:val="left" w:leader="underscore" w:pos="9639"/>
        </w:tabs>
        <w:spacing w:after="0" w:line="240" w:lineRule="auto"/>
        <w:jc w:val="both"/>
        <w:rPr>
          <w:rFonts w:cs="Calibri"/>
        </w:rPr>
      </w:pPr>
    </w:p>
    <w:p w14:paraId="43AE7303" w14:textId="77777777" w:rsidR="00FB4853" w:rsidRDefault="00FB4853" w:rsidP="00FB4853">
      <w:pPr>
        <w:tabs>
          <w:tab w:val="left" w:leader="underscore" w:pos="9639"/>
        </w:tabs>
        <w:spacing w:after="0" w:line="240" w:lineRule="auto"/>
        <w:jc w:val="both"/>
        <w:rPr>
          <w:rFonts w:cs="Calibri"/>
        </w:rPr>
      </w:pPr>
    </w:p>
    <w:p w14:paraId="167F0C97" w14:textId="77777777" w:rsidR="00FB4853" w:rsidRPr="00FB4853" w:rsidRDefault="00FB4853" w:rsidP="00FB4853">
      <w:pPr>
        <w:tabs>
          <w:tab w:val="left" w:leader="underscore" w:pos="9639"/>
        </w:tabs>
        <w:spacing w:after="0" w:line="240" w:lineRule="auto"/>
        <w:jc w:val="both"/>
        <w:rPr>
          <w:rFonts w:cs="Calibri"/>
        </w:rPr>
      </w:pPr>
    </w:p>
    <w:tbl>
      <w:tblPr>
        <w:tblW w:w="7080" w:type="dxa"/>
        <w:tblCellMar>
          <w:left w:w="70" w:type="dxa"/>
          <w:right w:w="70" w:type="dxa"/>
        </w:tblCellMar>
        <w:tblLook w:val="04A0" w:firstRow="1" w:lastRow="0" w:firstColumn="1" w:lastColumn="0" w:noHBand="0" w:noVBand="1"/>
      </w:tblPr>
      <w:tblGrid>
        <w:gridCol w:w="3320"/>
        <w:gridCol w:w="1920"/>
        <w:gridCol w:w="1840"/>
      </w:tblGrid>
      <w:tr w:rsidR="00FB4853" w:rsidRPr="00AE092B" w14:paraId="2FE3E382"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574FCE07"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CONCEPTO</w:t>
            </w:r>
          </w:p>
        </w:tc>
        <w:tc>
          <w:tcPr>
            <w:tcW w:w="1920" w:type="dxa"/>
            <w:tcBorders>
              <w:top w:val="single" w:sz="4" w:space="0" w:color="auto"/>
              <w:left w:val="nil"/>
              <w:bottom w:val="single" w:sz="4" w:space="0" w:color="auto"/>
              <w:right w:val="single" w:sz="4" w:space="0" w:color="auto"/>
            </w:tcBorders>
            <w:shd w:val="clear" w:color="000000" w:fill="C00000"/>
            <w:noWrap/>
            <w:vAlign w:val="bottom"/>
            <w:hideMark/>
          </w:tcPr>
          <w:p w14:paraId="2B9FD961"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RECAUDADO</w:t>
            </w:r>
          </w:p>
        </w:tc>
        <w:tc>
          <w:tcPr>
            <w:tcW w:w="1840" w:type="dxa"/>
            <w:tcBorders>
              <w:top w:val="single" w:sz="4" w:space="0" w:color="auto"/>
              <w:left w:val="nil"/>
              <w:bottom w:val="single" w:sz="4" w:space="0" w:color="auto"/>
              <w:right w:val="single" w:sz="4" w:space="0" w:color="auto"/>
            </w:tcBorders>
            <w:shd w:val="clear" w:color="000000" w:fill="C00000"/>
            <w:noWrap/>
            <w:vAlign w:val="bottom"/>
            <w:hideMark/>
          </w:tcPr>
          <w:p w14:paraId="2E633B3A"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 RECAUDACION</w:t>
            </w:r>
          </w:p>
        </w:tc>
      </w:tr>
      <w:tr w:rsidR="00FB4853" w:rsidRPr="00AE092B" w14:paraId="3EC489AB" w14:textId="77777777" w:rsidTr="00EA0A51">
        <w:trPr>
          <w:trHeight w:val="26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49BB7FC"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50 Productos</w:t>
            </w:r>
          </w:p>
        </w:tc>
        <w:tc>
          <w:tcPr>
            <w:tcW w:w="1920" w:type="dxa"/>
            <w:tcBorders>
              <w:top w:val="nil"/>
              <w:left w:val="nil"/>
              <w:bottom w:val="single" w:sz="4" w:space="0" w:color="auto"/>
              <w:right w:val="single" w:sz="4" w:space="0" w:color="auto"/>
            </w:tcBorders>
            <w:shd w:val="clear" w:color="auto" w:fill="auto"/>
            <w:noWrap/>
            <w:vAlign w:val="bottom"/>
            <w:hideMark/>
          </w:tcPr>
          <w:p w14:paraId="74EE1C81" w14:textId="2D759F95"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w:t>
            </w:r>
            <w:r w:rsidR="001405FD">
              <w:rPr>
                <w:rFonts w:eastAsia="Times New Roman" w:cs="Calibri"/>
                <w:color w:val="000000"/>
                <w:lang w:eastAsia="es-MX"/>
              </w:rPr>
              <w:t>71,572.97</w:t>
            </w:r>
            <w:r w:rsidRPr="00AE092B">
              <w:rPr>
                <w:rFonts w:eastAsia="Times New Roman" w:cs="Calibri"/>
                <w:color w:val="000000"/>
                <w:lang w:eastAsia="es-MX"/>
              </w:rPr>
              <w:t xml:space="preserve"> </w:t>
            </w:r>
          </w:p>
        </w:tc>
        <w:tc>
          <w:tcPr>
            <w:tcW w:w="1840" w:type="dxa"/>
            <w:tcBorders>
              <w:top w:val="nil"/>
              <w:left w:val="nil"/>
              <w:bottom w:val="single" w:sz="4" w:space="0" w:color="auto"/>
              <w:right w:val="single" w:sz="4" w:space="0" w:color="auto"/>
            </w:tcBorders>
            <w:shd w:val="clear" w:color="auto" w:fill="auto"/>
            <w:noWrap/>
            <w:vAlign w:val="bottom"/>
            <w:hideMark/>
          </w:tcPr>
          <w:p w14:paraId="6DC87885" w14:textId="20F316A5" w:rsidR="00FB4853" w:rsidRPr="00AE092B" w:rsidRDefault="001405FD" w:rsidP="00EA0A51">
            <w:pPr>
              <w:spacing w:after="0" w:line="240" w:lineRule="auto"/>
              <w:jc w:val="center"/>
              <w:rPr>
                <w:rFonts w:eastAsia="Times New Roman" w:cs="Calibri"/>
                <w:color w:val="000000"/>
                <w:lang w:eastAsia="es-MX"/>
              </w:rPr>
            </w:pPr>
            <w:r>
              <w:rPr>
                <w:rFonts w:eastAsia="Times New Roman" w:cs="Calibri"/>
                <w:color w:val="000000"/>
                <w:lang w:eastAsia="es-MX"/>
              </w:rPr>
              <w:t>0.54</w:t>
            </w:r>
            <w:r w:rsidR="00FB4853" w:rsidRPr="00AE092B">
              <w:rPr>
                <w:rFonts w:eastAsia="Times New Roman" w:cs="Calibri"/>
                <w:color w:val="000000"/>
                <w:lang w:eastAsia="es-MX"/>
              </w:rPr>
              <w:t>%</w:t>
            </w:r>
          </w:p>
        </w:tc>
      </w:tr>
      <w:tr w:rsidR="00FB4853" w:rsidRPr="00AE092B" w14:paraId="15B549FC" w14:textId="77777777" w:rsidTr="00EA0A51">
        <w:trPr>
          <w:trHeight w:val="288"/>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4E228A2"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70 Ingresos por vent</w:t>
            </w:r>
          </w:p>
        </w:tc>
        <w:tc>
          <w:tcPr>
            <w:tcW w:w="1920" w:type="dxa"/>
            <w:tcBorders>
              <w:top w:val="nil"/>
              <w:left w:val="nil"/>
              <w:bottom w:val="single" w:sz="4" w:space="0" w:color="auto"/>
              <w:right w:val="single" w:sz="4" w:space="0" w:color="auto"/>
            </w:tcBorders>
            <w:shd w:val="clear" w:color="auto" w:fill="auto"/>
            <w:noWrap/>
            <w:vAlign w:val="bottom"/>
            <w:hideMark/>
          </w:tcPr>
          <w:p w14:paraId="433D9B94" w14:textId="58CE86FB"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w:t>
            </w:r>
            <w:r w:rsidR="001405FD">
              <w:rPr>
                <w:rFonts w:eastAsia="Times New Roman" w:cs="Calibri"/>
                <w:color w:val="000000"/>
                <w:lang w:eastAsia="es-MX"/>
              </w:rPr>
              <w:t>710,884</w:t>
            </w:r>
            <w:r w:rsidR="000F3D90">
              <w:rPr>
                <w:rFonts w:eastAsia="Times New Roman" w:cs="Calibri"/>
                <w:color w:val="000000"/>
                <w:lang w:eastAsia="es-MX"/>
              </w:rPr>
              <w:t>.00</w:t>
            </w:r>
            <w:r w:rsidRPr="00AE092B">
              <w:rPr>
                <w:rFonts w:eastAsia="Times New Roman" w:cs="Calibri"/>
                <w:color w:val="000000"/>
                <w:lang w:eastAsia="es-MX"/>
              </w:rPr>
              <w:t xml:space="preserve"> </w:t>
            </w:r>
          </w:p>
        </w:tc>
        <w:tc>
          <w:tcPr>
            <w:tcW w:w="1840" w:type="dxa"/>
            <w:tcBorders>
              <w:top w:val="nil"/>
              <w:left w:val="nil"/>
              <w:bottom w:val="single" w:sz="4" w:space="0" w:color="auto"/>
              <w:right w:val="single" w:sz="4" w:space="0" w:color="auto"/>
            </w:tcBorders>
            <w:shd w:val="clear" w:color="auto" w:fill="auto"/>
            <w:noWrap/>
            <w:vAlign w:val="bottom"/>
            <w:hideMark/>
          </w:tcPr>
          <w:p w14:paraId="2D86569B" w14:textId="47FA82A7" w:rsidR="00FB4853" w:rsidRPr="00AE092B" w:rsidRDefault="001405FD" w:rsidP="00EA0A51">
            <w:pPr>
              <w:spacing w:after="0" w:line="240" w:lineRule="auto"/>
              <w:jc w:val="center"/>
              <w:rPr>
                <w:rFonts w:eastAsia="Times New Roman" w:cs="Calibri"/>
                <w:color w:val="000000"/>
                <w:lang w:eastAsia="es-MX"/>
              </w:rPr>
            </w:pPr>
            <w:r>
              <w:rPr>
                <w:rFonts w:eastAsia="Times New Roman" w:cs="Calibri"/>
                <w:color w:val="000000"/>
                <w:lang w:eastAsia="es-MX"/>
              </w:rPr>
              <w:t>5.44</w:t>
            </w:r>
            <w:r w:rsidR="00FB4853" w:rsidRPr="00AE092B">
              <w:rPr>
                <w:rFonts w:eastAsia="Times New Roman" w:cs="Calibri"/>
                <w:color w:val="000000"/>
                <w:lang w:eastAsia="es-MX"/>
              </w:rPr>
              <w:t>%</w:t>
            </w:r>
          </w:p>
        </w:tc>
      </w:tr>
      <w:tr w:rsidR="00FB4853" w:rsidRPr="00AE092B" w14:paraId="62ADF680" w14:textId="77777777" w:rsidTr="00EA0A51">
        <w:trPr>
          <w:trHeight w:val="288"/>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6E3FB92"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90 Transferencias, A</w:t>
            </w:r>
          </w:p>
        </w:tc>
        <w:tc>
          <w:tcPr>
            <w:tcW w:w="1920" w:type="dxa"/>
            <w:tcBorders>
              <w:top w:val="nil"/>
              <w:left w:val="nil"/>
              <w:bottom w:val="single" w:sz="4" w:space="0" w:color="auto"/>
              <w:right w:val="single" w:sz="4" w:space="0" w:color="auto"/>
            </w:tcBorders>
            <w:shd w:val="clear" w:color="auto" w:fill="auto"/>
            <w:noWrap/>
            <w:vAlign w:val="bottom"/>
            <w:hideMark/>
          </w:tcPr>
          <w:p w14:paraId="533704A0" w14:textId="213C65C9" w:rsidR="00FB4853" w:rsidRPr="00AE092B" w:rsidRDefault="001405FD" w:rsidP="00EA0A51">
            <w:pPr>
              <w:spacing w:after="0" w:line="240" w:lineRule="auto"/>
              <w:rPr>
                <w:rFonts w:eastAsia="Times New Roman" w:cs="Calibri"/>
                <w:color w:val="000000"/>
                <w:lang w:eastAsia="es-MX"/>
              </w:rPr>
            </w:pPr>
            <w:r>
              <w:rPr>
                <w:rFonts w:eastAsia="Times New Roman" w:cs="Calibri"/>
                <w:color w:val="000000"/>
                <w:lang w:eastAsia="es-MX"/>
              </w:rPr>
              <w:t xml:space="preserve"> $      12´302,267.56</w:t>
            </w:r>
            <w:r w:rsidR="00FB4853" w:rsidRPr="00AE092B">
              <w:rPr>
                <w:rFonts w:eastAsia="Times New Roman" w:cs="Calibri"/>
                <w:color w:val="000000"/>
                <w:lang w:eastAsia="es-MX"/>
              </w:rPr>
              <w:t xml:space="preserve"> </w:t>
            </w:r>
          </w:p>
        </w:tc>
        <w:tc>
          <w:tcPr>
            <w:tcW w:w="1840" w:type="dxa"/>
            <w:tcBorders>
              <w:top w:val="nil"/>
              <w:left w:val="nil"/>
              <w:bottom w:val="single" w:sz="4" w:space="0" w:color="auto"/>
              <w:right w:val="single" w:sz="4" w:space="0" w:color="auto"/>
            </w:tcBorders>
            <w:shd w:val="clear" w:color="auto" w:fill="auto"/>
            <w:noWrap/>
            <w:vAlign w:val="bottom"/>
            <w:hideMark/>
          </w:tcPr>
          <w:p w14:paraId="00B9603F" w14:textId="15F50243" w:rsidR="00FB4853" w:rsidRPr="00AE092B" w:rsidRDefault="001405FD" w:rsidP="001405FD">
            <w:pPr>
              <w:spacing w:after="0" w:line="240" w:lineRule="auto"/>
              <w:jc w:val="center"/>
              <w:rPr>
                <w:rFonts w:eastAsia="Times New Roman" w:cs="Calibri"/>
                <w:color w:val="000000"/>
                <w:lang w:eastAsia="es-MX"/>
              </w:rPr>
            </w:pPr>
            <w:r>
              <w:rPr>
                <w:rFonts w:eastAsia="Times New Roman" w:cs="Calibri"/>
                <w:color w:val="000000"/>
                <w:lang w:eastAsia="es-MX"/>
              </w:rPr>
              <w:t>94.02</w:t>
            </w:r>
            <w:r w:rsidR="00FB4853" w:rsidRPr="00AE092B">
              <w:rPr>
                <w:rFonts w:eastAsia="Times New Roman" w:cs="Calibri"/>
                <w:color w:val="000000"/>
                <w:lang w:eastAsia="es-MX"/>
              </w:rPr>
              <w:t>%</w:t>
            </w:r>
          </w:p>
        </w:tc>
      </w:tr>
      <w:tr w:rsidR="00FB4853" w:rsidRPr="00AE092B" w14:paraId="4420EFA2" w14:textId="77777777" w:rsidTr="00EA0A51">
        <w:trPr>
          <w:trHeight w:val="288"/>
        </w:trPr>
        <w:tc>
          <w:tcPr>
            <w:tcW w:w="3320" w:type="dxa"/>
            <w:tcBorders>
              <w:top w:val="nil"/>
              <w:left w:val="single" w:sz="4" w:space="0" w:color="auto"/>
              <w:bottom w:val="single" w:sz="4" w:space="0" w:color="auto"/>
              <w:right w:val="single" w:sz="4" w:space="0" w:color="auto"/>
            </w:tcBorders>
            <w:shd w:val="clear" w:color="000000" w:fill="FFC000"/>
            <w:noWrap/>
            <w:vAlign w:val="bottom"/>
            <w:hideMark/>
          </w:tcPr>
          <w:p w14:paraId="46D66D62" w14:textId="4BF876DE"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Rubros de Ingreso</w:t>
            </w:r>
          </w:p>
        </w:tc>
        <w:tc>
          <w:tcPr>
            <w:tcW w:w="1920" w:type="dxa"/>
            <w:tcBorders>
              <w:top w:val="nil"/>
              <w:left w:val="nil"/>
              <w:bottom w:val="single" w:sz="4" w:space="0" w:color="auto"/>
              <w:right w:val="single" w:sz="4" w:space="0" w:color="auto"/>
            </w:tcBorders>
            <w:shd w:val="clear" w:color="000000" w:fill="FFC000"/>
            <w:noWrap/>
            <w:vAlign w:val="bottom"/>
            <w:hideMark/>
          </w:tcPr>
          <w:p w14:paraId="043EB33F" w14:textId="5C0B8098" w:rsidR="000F3D90" w:rsidRDefault="001405FD" w:rsidP="00EA0A51">
            <w:pPr>
              <w:spacing w:after="0" w:line="240" w:lineRule="auto"/>
              <w:rPr>
                <w:rFonts w:eastAsia="Times New Roman" w:cs="Calibri"/>
                <w:color w:val="000000"/>
                <w:lang w:eastAsia="es-MX"/>
              </w:rPr>
            </w:pPr>
            <w:r>
              <w:rPr>
                <w:rFonts w:eastAsia="Times New Roman" w:cs="Calibri"/>
                <w:color w:val="000000"/>
                <w:lang w:eastAsia="es-MX"/>
              </w:rPr>
              <w:t xml:space="preserve"> $      13´084,724.53</w:t>
            </w:r>
          </w:p>
          <w:p w14:paraId="2B2F2896" w14:textId="30B754D8"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lastRenderedPageBreak/>
              <w:t xml:space="preserve"> </w:t>
            </w:r>
          </w:p>
        </w:tc>
        <w:tc>
          <w:tcPr>
            <w:tcW w:w="1840" w:type="dxa"/>
            <w:tcBorders>
              <w:top w:val="nil"/>
              <w:left w:val="nil"/>
              <w:bottom w:val="single" w:sz="4" w:space="0" w:color="auto"/>
              <w:right w:val="single" w:sz="4" w:space="0" w:color="auto"/>
            </w:tcBorders>
            <w:shd w:val="clear" w:color="000000" w:fill="FFC000"/>
            <w:noWrap/>
            <w:vAlign w:val="bottom"/>
            <w:hideMark/>
          </w:tcPr>
          <w:p w14:paraId="4B34D01E" w14:textId="77777777" w:rsidR="00FB4853" w:rsidRPr="00AE092B" w:rsidRDefault="00FB4853" w:rsidP="00EA0A51">
            <w:pPr>
              <w:spacing w:after="0" w:line="240" w:lineRule="auto"/>
              <w:jc w:val="center"/>
              <w:rPr>
                <w:rFonts w:eastAsia="Times New Roman" w:cs="Calibri"/>
                <w:color w:val="000000"/>
                <w:lang w:eastAsia="es-MX"/>
              </w:rPr>
            </w:pPr>
            <w:r w:rsidRPr="00AE092B">
              <w:rPr>
                <w:rFonts w:eastAsia="Times New Roman" w:cs="Calibri"/>
                <w:color w:val="000000"/>
                <w:lang w:eastAsia="es-MX"/>
              </w:rPr>
              <w:lastRenderedPageBreak/>
              <w:t>100%</w:t>
            </w:r>
          </w:p>
        </w:tc>
      </w:tr>
    </w:tbl>
    <w:p w14:paraId="4FA2E1ED" w14:textId="746F2404"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tbl>
      <w:tblPr>
        <w:tblW w:w="7366" w:type="dxa"/>
        <w:tblCellMar>
          <w:left w:w="70" w:type="dxa"/>
          <w:right w:w="70" w:type="dxa"/>
        </w:tblCellMar>
        <w:tblLook w:val="04A0" w:firstRow="1" w:lastRow="0" w:firstColumn="1" w:lastColumn="0" w:noHBand="0" w:noVBand="1"/>
      </w:tblPr>
      <w:tblGrid>
        <w:gridCol w:w="3320"/>
        <w:gridCol w:w="2204"/>
        <w:gridCol w:w="1842"/>
      </w:tblGrid>
      <w:tr w:rsidR="00FB4853" w:rsidRPr="00AE092B" w14:paraId="16FC637F" w14:textId="77777777" w:rsidTr="00EA0A51">
        <w:trPr>
          <w:trHeight w:val="528"/>
        </w:trPr>
        <w:tc>
          <w:tcPr>
            <w:tcW w:w="3320"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61626CBF"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CONCEPTO</w:t>
            </w:r>
          </w:p>
        </w:tc>
        <w:tc>
          <w:tcPr>
            <w:tcW w:w="2204" w:type="dxa"/>
            <w:tcBorders>
              <w:top w:val="single" w:sz="4" w:space="0" w:color="auto"/>
              <w:left w:val="nil"/>
              <w:bottom w:val="single" w:sz="4" w:space="0" w:color="auto"/>
              <w:right w:val="single" w:sz="4" w:space="0" w:color="auto"/>
            </w:tcBorders>
            <w:shd w:val="clear" w:color="000000" w:fill="C00000"/>
            <w:vAlign w:val="center"/>
            <w:hideMark/>
          </w:tcPr>
          <w:p w14:paraId="17F2D4B3"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PROYECTADO ANUAL</w:t>
            </w:r>
          </w:p>
        </w:tc>
        <w:tc>
          <w:tcPr>
            <w:tcW w:w="1842" w:type="dxa"/>
            <w:tcBorders>
              <w:top w:val="single" w:sz="4" w:space="0" w:color="auto"/>
              <w:left w:val="nil"/>
              <w:bottom w:val="single" w:sz="4" w:space="0" w:color="auto"/>
              <w:right w:val="single" w:sz="4" w:space="0" w:color="auto"/>
            </w:tcBorders>
            <w:shd w:val="clear" w:color="000000" w:fill="C00000"/>
            <w:noWrap/>
            <w:vAlign w:val="bottom"/>
            <w:hideMark/>
          </w:tcPr>
          <w:p w14:paraId="59D68D6D" w14:textId="77777777" w:rsidR="00FB4853" w:rsidRPr="00AE092B" w:rsidRDefault="00FB4853" w:rsidP="00EA0A51">
            <w:pPr>
              <w:spacing w:after="0" w:line="240" w:lineRule="auto"/>
              <w:jc w:val="center"/>
              <w:rPr>
                <w:rFonts w:ascii="Arial" w:eastAsia="Times New Roman" w:hAnsi="Arial" w:cs="Arial"/>
                <w:b/>
                <w:bCs/>
                <w:color w:val="FFFFFF"/>
                <w:sz w:val="20"/>
                <w:szCs w:val="20"/>
                <w:lang w:eastAsia="es-MX"/>
              </w:rPr>
            </w:pPr>
            <w:r w:rsidRPr="00AE092B">
              <w:rPr>
                <w:rFonts w:ascii="Arial" w:eastAsia="Times New Roman" w:hAnsi="Arial" w:cs="Arial"/>
                <w:b/>
                <w:bCs/>
                <w:color w:val="FFFFFF"/>
                <w:sz w:val="20"/>
                <w:szCs w:val="20"/>
                <w:lang w:eastAsia="es-MX"/>
              </w:rPr>
              <w:t>% RECAUDACION</w:t>
            </w:r>
          </w:p>
        </w:tc>
      </w:tr>
      <w:tr w:rsidR="00FB4853" w:rsidRPr="00AE092B" w14:paraId="02F5FBA8"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1AAE4"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50 Productos</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F007"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55,015.00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556187A" w14:textId="77777777" w:rsidR="00FB4853" w:rsidRPr="00AE092B" w:rsidRDefault="00FB4853" w:rsidP="00EA0A51">
            <w:pPr>
              <w:spacing w:after="0" w:line="240" w:lineRule="auto"/>
              <w:jc w:val="center"/>
              <w:rPr>
                <w:rFonts w:eastAsia="Times New Roman" w:cs="Calibri"/>
                <w:color w:val="000000"/>
                <w:lang w:eastAsia="es-MX"/>
              </w:rPr>
            </w:pPr>
            <w:r w:rsidRPr="00AE092B">
              <w:rPr>
                <w:rFonts w:eastAsia="Times New Roman" w:cs="Calibri"/>
                <w:color w:val="000000"/>
                <w:lang w:eastAsia="es-MX"/>
              </w:rPr>
              <w:t>0.27%</w:t>
            </w:r>
          </w:p>
        </w:tc>
      </w:tr>
      <w:tr w:rsidR="00FB4853" w:rsidRPr="00AE092B" w14:paraId="44550FD0"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0EE9" w14:textId="292A02FD"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70 Ingresos por </w:t>
            </w:r>
            <w:r w:rsidR="00C0559D">
              <w:rPr>
                <w:rFonts w:eastAsia="Times New Roman" w:cs="Calibri"/>
                <w:color w:val="000000"/>
                <w:lang w:eastAsia="es-MX"/>
              </w:rPr>
              <w:t>venta bienes y serv.</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C0EF" w14:textId="0AA76095"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w:t>
            </w:r>
            <w:r w:rsidR="001405FD">
              <w:rPr>
                <w:rFonts w:eastAsia="Times New Roman" w:cs="Calibri"/>
                <w:color w:val="000000"/>
                <w:lang w:eastAsia="es-MX"/>
              </w:rPr>
              <w:t>2´253,293</w:t>
            </w:r>
            <w:r w:rsidR="004B31D5">
              <w:rPr>
                <w:rFonts w:eastAsia="Times New Roman" w:cs="Calibri"/>
                <w:color w:val="000000"/>
                <w:lang w:eastAsia="es-MX"/>
              </w:rPr>
              <w:t>.27</w:t>
            </w:r>
            <w:r w:rsidRPr="00AE092B">
              <w:rPr>
                <w:rFonts w:eastAsia="Times New Roman" w:cs="Calibri"/>
                <w:color w:val="000000"/>
                <w:lang w:eastAsia="es-MX"/>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2027BD2" w14:textId="35B085D9" w:rsidR="00FB4853" w:rsidRPr="00AE092B" w:rsidRDefault="00704159" w:rsidP="00EA0A51">
            <w:pPr>
              <w:spacing w:after="0" w:line="240" w:lineRule="auto"/>
              <w:jc w:val="center"/>
              <w:rPr>
                <w:rFonts w:eastAsia="Times New Roman" w:cs="Calibri"/>
                <w:color w:val="000000"/>
                <w:lang w:eastAsia="es-MX"/>
              </w:rPr>
            </w:pPr>
            <w:r>
              <w:rPr>
                <w:rFonts w:eastAsia="Times New Roman" w:cs="Calibri"/>
                <w:color w:val="000000"/>
                <w:lang w:eastAsia="es-MX"/>
              </w:rPr>
              <w:t>10.22</w:t>
            </w:r>
            <w:r w:rsidR="00FB4853" w:rsidRPr="00AE092B">
              <w:rPr>
                <w:rFonts w:eastAsia="Times New Roman" w:cs="Calibri"/>
                <w:color w:val="000000"/>
                <w:lang w:eastAsia="es-MX"/>
              </w:rPr>
              <w:t>%</w:t>
            </w:r>
          </w:p>
        </w:tc>
      </w:tr>
      <w:tr w:rsidR="00FB4853" w:rsidRPr="00AE092B" w14:paraId="7CF365F5"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8751" w14:textId="159BE8BF"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90 Transferencias, A</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DF5B" w14:textId="2429F2FA" w:rsidR="00FB4853" w:rsidRPr="00AE092B" w:rsidRDefault="001405FD" w:rsidP="00EA0A51">
            <w:pPr>
              <w:spacing w:after="0" w:line="240" w:lineRule="auto"/>
              <w:rPr>
                <w:rFonts w:eastAsia="Times New Roman" w:cs="Calibri"/>
                <w:color w:val="000000"/>
                <w:lang w:eastAsia="es-MX"/>
              </w:rPr>
            </w:pPr>
            <w:r>
              <w:rPr>
                <w:rFonts w:eastAsia="Times New Roman" w:cs="Calibri"/>
                <w:color w:val="000000"/>
                <w:lang w:eastAsia="es-MX"/>
              </w:rPr>
              <w:t xml:space="preserve"> $      16,501,959.12</w:t>
            </w:r>
            <w:r w:rsidR="00FB4853" w:rsidRPr="00AE092B">
              <w:rPr>
                <w:rFonts w:eastAsia="Times New Roman" w:cs="Calibri"/>
                <w:color w:val="000000"/>
                <w:lang w:eastAsia="es-MX"/>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55870FD" w14:textId="59644C6C" w:rsidR="00FB4853" w:rsidRPr="00AE092B" w:rsidRDefault="00704159" w:rsidP="002231EE">
            <w:pPr>
              <w:spacing w:after="0" w:line="240" w:lineRule="auto"/>
              <w:jc w:val="center"/>
              <w:rPr>
                <w:rFonts w:eastAsia="Times New Roman" w:cs="Calibri"/>
                <w:color w:val="000000"/>
                <w:lang w:eastAsia="es-MX"/>
              </w:rPr>
            </w:pPr>
            <w:r>
              <w:rPr>
                <w:rFonts w:eastAsia="Times New Roman" w:cs="Calibri"/>
                <w:color w:val="000000"/>
                <w:lang w:eastAsia="es-MX"/>
              </w:rPr>
              <w:t>82.13</w:t>
            </w:r>
            <w:r w:rsidR="00FB4853" w:rsidRPr="00AE092B">
              <w:rPr>
                <w:rFonts w:eastAsia="Times New Roman" w:cs="Calibri"/>
                <w:color w:val="000000"/>
                <w:lang w:eastAsia="es-MX"/>
              </w:rPr>
              <w:t>%</w:t>
            </w:r>
          </w:p>
        </w:tc>
      </w:tr>
      <w:tr w:rsidR="00FB4853" w:rsidRPr="00AE092B" w14:paraId="079A1656"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7638" w14:textId="74E28BF9"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00 Ingresos deriv de</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312E5" w14:textId="4FD5D8C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w:t>
            </w:r>
            <w:r w:rsidR="004B31D5">
              <w:rPr>
                <w:rFonts w:eastAsia="Times New Roman" w:cs="Calibri"/>
                <w:color w:val="000000"/>
                <w:lang w:eastAsia="es-MX"/>
              </w:rPr>
              <w:t>1´483,270.20</w:t>
            </w:r>
            <w:r w:rsidRPr="00AE092B">
              <w:rPr>
                <w:rFonts w:eastAsia="Times New Roman" w:cs="Calibri"/>
                <w:color w:val="000000"/>
                <w:lang w:eastAsia="es-MX"/>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1C898C9" w14:textId="2F3F8862" w:rsidR="00FB4853" w:rsidRPr="00AE092B" w:rsidRDefault="001405FD" w:rsidP="00EA0A51">
            <w:pPr>
              <w:spacing w:after="0" w:line="240" w:lineRule="auto"/>
              <w:jc w:val="center"/>
              <w:rPr>
                <w:rFonts w:eastAsia="Times New Roman" w:cs="Calibri"/>
                <w:color w:val="000000"/>
                <w:lang w:eastAsia="es-MX"/>
              </w:rPr>
            </w:pPr>
            <w:r>
              <w:rPr>
                <w:rFonts w:eastAsia="Times New Roman" w:cs="Calibri"/>
                <w:color w:val="000000"/>
                <w:lang w:eastAsia="es-MX"/>
              </w:rPr>
              <w:t>7.38</w:t>
            </w:r>
            <w:r w:rsidR="00FB4853" w:rsidRPr="00AE092B">
              <w:rPr>
                <w:rFonts w:eastAsia="Times New Roman" w:cs="Calibri"/>
                <w:color w:val="000000"/>
                <w:lang w:eastAsia="es-MX"/>
              </w:rPr>
              <w:t>%</w:t>
            </w:r>
          </w:p>
        </w:tc>
      </w:tr>
      <w:tr w:rsidR="00FB4853" w:rsidRPr="00AE092B" w14:paraId="0E9C00EF" w14:textId="77777777" w:rsidTr="00EA0A51">
        <w:trPr>
          <w:trHeight w:val="288"/>
        </w:trPr>
        <w:tc>
          <w:tcPr>
            <w:tcW w:w="33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D57A761" w14:textId="77777777"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Rubros de Ingreso</w:t>
            </w:r>
          </w:p>
        </w:tc>
        <w:tc>
          <w:tcPr>
            <w:tcW w:w="2204"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6BCFF4E" w14:textId="354AB5C0" w:rsidR="00FB4853" w:rsidRPr="00AE092B" w:rsidRDefault="00FB4853" w:rsidP="00EA0A51">
            <w:pPr>
              <w:spacing w:after="0" w:line="240" w:lineRule="auto"/>
              <w:rPr>
                <w:rFonts w:eastAsia="Times New Roman" w:cs="Calibri"/>
                <w:color w:val="000000"/>
                <w:lang w:eastAsia="es-MX"/>
              </w:rPr>
            </w:pPr>
            <w:r w:rsidRPr="00AE092B">
              <w:rPr>
                <w:rFonts w:eastAsia="Times New Roman" w:cs="Calibri"/>
                <w:color w:val="000000"/>
                <w:lang w:eastAsia="es-MX"/>
              </w:rPr>
              <w:t xml:space="preserve"> $      </w:t>
            </w:r>
            <w:r w:rsidR="001405FD">
              <w:rPr>
                <w:rFonts w:eastAsia="Times New Roman" w:cs="Calibri"/>
                <w:color w:val="000000"/>
                <w:lang w:eastAsia="es-MX"/>
              </w:rPr>
              <w:t>20´093,537</w:t>
            </w:r>
            <w:r w:rsidR="004B31D5">
              <w:rPr>
                <w:rFonts w:eastAsia="Times New Roman" w:cs="Calibri"/>
                <w:color w:val="000000"/>
                <w:lang w:eastAsia="es-MX"/>
              </w:rPr>
              <w:t>.</w:t>
            </w:r>
            <w:r w:rsidR="001405FD">
              <w:rPr>
                <w:rFonts w:eastAsia="Times New Roman" w:cs="Calibri"/>
                <w:color w:val="000000"/>
                <w:lang w:eastAsia="es-MX"/>
              </w:rPr>
              <w:t>59</w:t>
            </w:r>
            <w:r w:rsidRPr="00AE092B">
              <w:rPr>
                <w:rFonts w:eastAsia="Times New Roman" w:cs="Calibri"/>
                <w:color w:val="000000"/>
                <w:lang w:eastAsia="es-MX"/>
              </w:rPr>
              <w:t xml:space="preserve"> </w:t>
            </w:r>
          </w:p>
        </w:tc>
        <w:tc>
          <w:tcPr>
            <w:tcW w:w="1842" w:type="dxa"/>
            <w:tcBorders>
              <w:top w:val="single" w:sz="4" w:space="0" w:color="auto"/>
              <w:left w:val="nil"/>
              <w:bottom w:val="single" w:sz="4" w:space="0" w:color="auto"/>
              <w:right w:val="single" w:sz="4" w:space="0" w:color="auto"/>
            </w:tcBorders>
            <w:shd w:val="clear" w:color="000000" w:fill="FFC000"/>
            <w:noWrap/>
            <w:vAlign w:val="bottom"/>
            <w:hideMark/>
          </w:tcPr>
          <w:p w14:paraId="7B9B4466" w14:textId="77777777" w:rsidR="00FB4853" w:rsidRPr="00AE092B" w:rsidRDefault="00FB4853" w:rsidP="00EA0A51">
            <w:pPr>
              <w:spacing w:after="0" w:line="240" w:lineRule="auto"/>
              <w:jc w:val="center"/>
              <w:rPr>
                <w:rFonts w:eastAsia="Times New Roman" w:cs="Calibri"/>
                <w:color w:val="000000"/>
                <w:lang w:eastAsia="es-MX"/>
              </w:rPr>
            </w:pPr>
            <w:r w:rsidRPr="00AE092B">
              <w:rPr>
                <w:rFonts w:eastAsia="Times New Roman" w:cs="Calibri"/>
                <w:color w:val="000000"/>
                <w:lang w:eastAsia="es-MX"/>
              </w:rPr>
              <w:t>100%</w:t>
            </w:r>
          </w:p>
        </w:tc>
      </w:tr>
    </w:tbl>
    <w:p w14:paraId="7C4CE7E2" w14:textId="710307E1"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639A69" w14:textId="77777777" w:rsidR="008A0AF2" w:rsidRDefault="008A0AF2" w:rsidP="008A0AF2">
      <w:pPr>
        <w:spacing w:after="0" w:line="240" w:lineRule="auto"/>
        <w:jc w:val="both"/>
        <w:rPr>
          <w:rFonts w:asciiTheme="minorHAnsi" w:hAnsiTheme="minorHAnsi" w:cstheme="minorHAnsi"/>
          <w:color w:val="2E74B5" w:themeColor="accent1" w:themeShade="BF"/>
          <w:sz w:val="20"/>
          <w:szCs w:val="20"/>
        </w:rPr>
      </w:pPr>
    </w:p>
    <w:p w14:paraId="63B92D5B" w14:textId="77777777" w:rsidR="008A0AF2" w:rsidRPr="00727B80" w:rsidRDefault="008A0AF2" w:rsidP="008A0AF2">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ACTUALMENTE ESTA NOTA NO LE APLICA AL ENTE PÚBLICO</w:t>
      </w:r>
    </w:p>
    <w:p w14:paraId="520DD8AB" w14:textId="77777777" w:rsidR="008A0AF2" w:rsidRPr="00727B80" w:rsidRDefault="008A0AF2" w:rsidP="008A0AF2">
      <w:pPr>
        <w:spacing w:after="0" w:line="240" w:lineRule="auto"/>
        <w:jc w:val="both"/>
        <w:rPr>
          <w:rFonts w:asciiTheme="minorHAnsi" w:hAnsiTheme="minorHAnsi" w:cstheme="minorHAnsi"/>
          <w:color w:val="2E74B5" w:themeColor="accent1" w:themeShade="BF"/>
          <w:sz w:val="20"/>
          <w:szCs w:val="20"/>
        </w:rPr>
      </w:pPr>
    </w:p>
    <w:p w14:paraId="783E0570" w14:textId="77777777" w:rsidR="008A0AF2" w:rsidRPr="00727B80" w:rsidRDefault="008A0AF2" w:rsidP="008A0AF2">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El SDIF no tiene deuda pública.</w:t>
      </w:r>
    </w:p>
    <w:p w14:paraId="2FA34F07" w14:textId="77777777" w:rsidR="008A0AF2" w:rsidRPr="00E74967" w:rsidRDefault="008A0AF2" w:rsidP="00CB41C4">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8EB4221" w14:textId="77777777" w:rsidR="008A0AF2" w:rsidRDefault="008A0AF2" w:rsidP="008A0AF2">
      <w:pPr>
        <w:spacing w:after="0" w:line="240" w:lineRule="auto"/>
        <w:jc w:val="both"/>
        <w:rPr>
          <w:rFonts w:asciiTheme="minorHAnsi" w:hAnsiTheme="minorHAnsi" w:cstheme="minorHAnsi"/>
          <w:color w:val="2E74B5" w:themeColor="accent1" w:themeShade="BF"/>
          <w:sz w:val="20"/>
          <w:szCs w:val="20"/>
        </w:rPr>
      </w:pPr>
    </w:p>
    <w:p w14:paraId="63B459F0" w14:textId="77777777" w:rsidR="008A0AF2" w:rsidRPr="00727B80" w:rsidRDefault="008A0AF2" w:rsidP="008A0AF2">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El SDIF no tiene deuda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908EDC7" w14:textId="77777777" w:rsidR="008A0AF2" w:rsidRDefault="008A0AF2" w:rsidP="008A0AF2">
      <w:pPr>
        <w:spacing w:after="0" w:line="240" w:lineRule="auto"/>
        <w:jc w:val="both"/>
        <w:rPr>
          <w:rFonts w:asciiTheme="minorHAnsi" w:hAnsiTheme="minorHAnsi" w:cstheme="minorHAnsi"/>
          <w:color w:val="2E74B5" w:themeColor="accent1" w:themeShade="BF"/>
          <w:sz w:val="20"/>
          <w:szCs w:val="20"/>
        </w:rPr>
      </w:pPr>
    </w:p>
    <w:p w14:paraId="0CE6B05F" w14:textId="77777777" w:rsidR="008A0AF2" w:rsidRPr="00727B80" w:rsidRDefault="008A0AF2" w:rsidP="008A0AF2">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ACTUALMENTE 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03BA2048" w:rsidR="007D1E76" w:rsidRPr="00816E2F" w:rsidRDefault="007D1E76" w:rsidP="00816E2F">
      <w:pPr>
        <w:pStyle w:val="Prrafodelista"/>
        <w:numPr>
          <w:ilvl w:val="0"/>
          <w:numId w:val="4"/>
        </w:numPr>
        <w:tabs>
          <w:tab w:val="left" w:leader="underscore" w:pos="9639"/>
        </w:tabs>
        <w:spacing w:after="0" w:line="240" w:lineRule="auto"/>
        <w:jc w:val="both"/>
        <w:rPr>
          <w:rFonts w:cs="Calibri"/>
        </w:rPr>
      </w:pPr>
      <w:r w:rsidRPr="00816E2F">
        <w:rPr>
          <w:rFonts w:cs="Calibri"/>
        </w:rPr>
        <w:t>Principales Políticas de control interno:</w:t>
      </w:r>
    </w:p>
    <w:p w14:paraId="74D753E3" w14:textId="77777777" w:rsidR="00816E2F" w:rsidRPr="00816E2F" w:rsidRDefault="00816E2F" w:rsidP="00816E2F">
      <w:pPr>
        <w:pStyle w:val="Prrafodelista"/>
        <w:tabs>
          <w:tab w:val="left" w:leader="underscore" w:pos="9639"/>
        </w:tabs>
        <w:spacing w:after="0" w:line="240" w:lineRule="auto"/>
        <w:jc w:val="both"/>
        <w:rPr>
          <w:rFonts w:cs="Calibri"/>
        </w:rPr>
      </w:pPr>
    </w:p>
    <w:p w14:paraId="4E858F4D" w14:textId="77777777" w:rsidR="00816E2F" w:rsidRPr="00727B80" w:rsidRDefault="00816E2F" w:rsidP="00816E2F">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 xml:space="preserve">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w:t>
      </w:r>
      <w:r w:rsidRPr="00727B80">
        <w:rPr>
          <w:rFonts w:asciiTheme="minorHAnsi" w:hAnsiTheme="minorHAnsi" w:cstheme="minorHAnsi"/>
          <w:color w:val="2E74B5" w:themeColor="accent1" w:themeShade="BF"/>
          <w:sz w:val="20"/>
          <w:szCs w:val="20"/>
        </w:rPr>
        <w:lastRenderedPageBreak/>
        <w:t>comprobación del gasto, un padrón de proveedores, elaboración de pedidos, recepción de materiales y suministros y su factura correspondiente, elaboración y entrega de cheques.  Manejo y control presupuestal – contable</w:t>
      </w:r>
    </w:p>
    <w:p w14:paraId="7BF70D12" w14:textId="77777777" w:rsidR="00816E2F" w:rsidRDefault="00816E2F" w:rsidP="00CB41C4">
      <w:pPr>
        <w:tabs>
          <w:tab w:val="left" w:leader="underscore" w:pos="9639"/>
        </w:tabs>
        <w:spacing w:after="0" w:line="240" w:lineRule="auto"/>
        <w:jc w:val="both"/>
        <w:rPr>
          <w:rFonts w:cs="Calibri"/>
          <w:b/>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780676C" w14:textId="77777777" w:rsidR="00816E2F" w:rsidRDefault="00816E2F" w:rsidP="00816E2F">
      <w:pPr>
        <w:tabs>
          <w:tab w:val="left" w:leader="underscore" w:pos="9639"/>
        </w:tabs>
        <w:spacing w:after="0" w:line="240" w:lineRule="auto"/>
        <w:jc w:val="both"/>
        <w:rPr>
          <w:rFonts w:cs="Calibri"/>
          <w:color w:val="2E74B5" w:themeColor="accent1" w:themeShade="BF"/>
        </w:rPr>
      </w:pPr>
    </w:p>
    <w:p w14:paraId="48538775" w14:textId="77777777" w:rsidR="00816E2F" w:rsidRPr="00727B80" w:rsidRDefault="00816E2F" w:rsidP="00816E2F">
      <w:pPr>
        <w:tabs>
          <w:tab w:val="left" w:leader="underscore" w:pos="9639"/>
        </w:tabs>
        <w:spacing w:after="0" w:line="240" w:lineRule="auto"/>
        <w:jc w:val="both"/>
        <w:rPr>
          <w:rFonts w:cs="Calibri"/>
          <w:color w:val="2E74B5" w:themeColor="accent1" w:themeShade="BF"/>
        </w:rPr>
      </w:pPr>
      <w:r>
        <w:rPr>
          <w:rFonts w:cs="Calibri"/>
          <w:color w:val="2E74B5" w:themeColor="accent1" w:themeShade="BF"/>
        </w:rPr>
        <w:t>Para este ejercicio 2021</w:t>
      </w:r>
      <w:r w:rsidRPr="00727B80">
        <w:rPr>
          <w:rFonts w:cs="Calibri"/>
          <w:color w:val="2E74B5" w:themeColor="accent1" w:themeShade="BF"/>
        </w:rPr>
        <w:t>, se implementó un sistema de control de los avances de las metas físicas que cada área del SDIF tiene, las cuales se estarán reportando cada trimestre, esto para medir el desempeño y beneficio del desarrollo de las actividades que cada una de las áreas desempeñan y que forman parte de un 100% de la entidad que es el SDIF.</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7898564" w14:textId="77777777" w:rsidR="00816E2F" w:rsidRPr="00727B80" w:rsidRDefault="00816E2F" w:rsidP="00816E2F">
      <w:pPr>
        <w:spacing w:after="0" w:line="240" w:lineRule="auto"/>
        <w:jc w:val="both"/>
        <w:rPr>
          <w:rFonts w:asciiTheme="minorHAnsi" w:hAnsiTheme="minorHAnsi" w:cstheme="minorHAnsi"/>
          <w:color w:val="2E74B5" w:themeColor="accent1" w:themeShade="BF"/>
        </w:rPr>
      </w:pPr>
      <w:r w:rsidRPr="00727B80">
        <w:rPr>
          <w:rFonts w:asciiTheme="minorHAnsi" w:hAnsiTheme="minorHAnsi" w:cstheme="minorHAnsi"/>
          <w:color w:val="2E74B5" w:themeColor="accent1" w:themeShade="BF"/>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6DA621BC" w:rsidR="007D1E76" w:rsidRPr="00D969E2" w:rsidRDefault="00816E2F" w:rsidP="00CB41C4">
      <w:pPr>
        <w:tabs>
          <w:tab w:val="left" w:leader="underscore" w:pos="9639"/>
        </w:tabs>
        <w:spacing w:after="0" w:line="240" w:lineRule="auto"/>
        <w:jc w:val="both"/>
        <w:rPr>
          <w:rFonts w:asciiTheme="minorHAnsi" w:hAnsiTheme="minorHAnsi" w:cstheme="minorHAnsi"/>
          <w:color w:val="2E74B5" w:themeColor="accent1" w:themeShade="BF"/>
          <w:sz w:val="20"/>
          <w:szCs w:val="20"/>
        </w:rPr>
      </w:pPr>
      <w:r w:rsidRPr="00D969E2">
        <w:rPr>
          <w:rFonts w:asciiTheme="minorHAnsi" w:hAnsiTheme="minorHAnsi" w:cstheme="minorHAnsi"/>
          <w:color w:val="2E74B5" w:themeColor="accent1" w:themeShade="BF"/>
          <w:sz w:val="20"/>
          <w:szCs w:val="20"/>
        </w:rPr>
        <w:t>No se efectuó ningún movimiento posterior al cierre.</w:t>
      </w:r>
    </w:p>
    <w:p w14:paraId="19691978" w14:textId="77777777" w:rsidR="00816E2F" w:rsidRPr="00E74967" w:rsidRDefault="00816E2F"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45649E5" w14:textId="77777777" w:rsidR="00816E2F" w:rsidRDefault="00816E2F" w:rsidP="00816E2F">
      <w:pPr>
        <w:spacing w:after="0" w:line="240" w:lineRule="auto"/>
        <w:jc w:val="both"/>
        <w:rPr>
          <w:rFonts w:asciiTheme="minorHAnsi" w:hAnsiTheme="minorHAnsi" w:cstheme="minorHAnsi"/>
          <w:color w:val="2E74B5" w:themeColor="accent1" w:themeShade="BF"/>
          <w:sz w:val="20"/>
          <w:szCs w:val="20"/>
        </w:rPr>
      </w:pPr>
    </w:p>
    <w:p w14:paraId="5EA26999" w14:textId="1984111B" w:rsidR="00816E2F" w:rsidRPr="00D969E2" w:rsidRDefault="00816E2F" w:rsidP="00816E2F">
      <w:pPr>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Hay una parte dentro de los activos que no han permitido de momento reflejar de una forma adecuada las adaptaciones que se le han efectuado al inmueble</w:t>
      </w:r>
      <w:r w:rsidR="00D969E2">
        <w:rPr>
          <w:rFonts w:asciiTheme="minorHAnsi" w:hAnsiTheme="minorHAnsi" w:cstheme="minorHAnsi"/>
          <w:color w:val="2E74B5" w:themeColor="accent1" w:themeShade="BF"/>
          <w:sz w:val="20"/>
          <w:szCs w:val="20"/>
        </w:rPr>
        <w:t xml:space="preserve"> </w:t>
      </w:r>
      <w:r w:rsidRPr="00727B80">
        <w:rPr>
          <w:rFonts w:asciiTheme="minorHAnsi" w:hAnsiTheme="minorHAnsi" w:cstheme="minorHAnsi"/>
          <w:color w:val="2E74B5" w:themeColor="accent1" w:themeShade="BF"/>
          <w:sz w:val="20"/>
          <w:szCs w:val="20"/>
        </w:rPr>
        <w:t xml:space="preserve"> que nos permita emitir un valor razonable de los mismos dentro de los estados financieros.</w:t>
      </w:r>
    </w:p>
    <w:p w14:paraId="17B9F770" w14:textId="77777777" w:rsidR="00816E2F" w:rsidRPr="00727B80" w:rsidRDefault="00816E2F" w:rsidP="00816E2F">
      <w:pPr>
        <w:tabs>
          <w:tab w:val="left" w:leader="underscore" w:pos="9639"/>
        </w:tabs>
        <w:spacing w:after="0" w:line="240" w:lineRule="auto"/>
        <w:jc w:val="both"/>
        <w:rPr>
          <w:rFonts w:cs="Calibri"/>
          <w:color w:val="2E74B5" w:themeColor="accent1" w:themeShade="BF"/>
        </w:rPr>
      </w:pP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lastRenderedPageBreak/>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0E3B903D" w:rsidR="00D5018E" w:rsidRDefault="00816E2F" w:rsidP="00D5018E">
      <w:pPr>
        <w:pBdr>
          <w:bottom w:val="single" w:sz="12" w:space="1" w:color="auto"/>
        </w:pBdr>
        <w:tabs>
          <w:tab w:val="left" w:leader="underscore" w:pos="9639"/>
        </w:tabs>
        <w:spacing w:after="0" w:line="240" w:lineRule="auto"/>
        <w:jc w:val="both"/>
        <w:rPr>
          <w:rFonts w:asciiTheme="minorHAnsi" w:hAnsiTheme="minorHAnsi" w:cstheme="minorHAnsi"/>
          <w:color w:val="2E74B5" w:themeColor="accent1" w:themeShade="BF"/>
          <w:sz w:val="20"/>
          <w:szCs w:val="20"/>
        </w:rPr>
      </w:pPr>
      <w:r w:rsidRPr="00727B80">
        <w:rPr>
          <w:rFonts w:asciiTheme="minorHAnsi" w:hAnsiTheme="minorHAnsi" w:cstheme="minorHAnsi"/>
          <w:color w:val="2E74B5" w:themeColor="accent1" w:themeShade="BF"/>
          <w:sz w:val="20"/>
          <w:szCs w:val="20"/>
        </w:rPr>
        <w:t>Los Estados Financieros van Rubricados de acuerdo a la Normatividad vigente.</w:t>
      </w:r>
    </w:p>
    <w:p w14:paraId="0B1F5E7A" w14:textId="77777777" w:rsidR="00816E2F" w:rsidRDefault="00816E2F" w:rsidP="00D5018E">
      <w:pPr>
        <w:pBdr>
          <w:bottom w:val="single" w:sz="12" w:space="1" w:color="auto"/>
        </w:pBdr>
        <w:tabs>
          <w:tab w:val="left" w:leader="underscore" w:pos="9639"/>
        </w:tabs>
        <w:spacing w:after="0" w:line="240" w:lineRule="auto"/>
        <w:jc w:val="both"/>
        <w:rPr>
          <w:rFonts w:asciiTheme="minorHAnsi" w:hAnsiTheme="minorHAnsi" w:cstheme="minorHAnsi"/>
          <w:color w:val="2E74B5" w:themeColor="accent1" w:themeShade="BF"/>
          <w:sz w:val="20"/>
          <w:szCs w:val="20"/>
        </w:rPr>
      </w:pPr>
    </w:p>
    <w:p w14:paraId="4D78307B" w14:textId="77777777" w:rsidR="00816E2F" w:rsidRPr="00816E2F" w:rsidRDefault="00816E2F" w:rsidP="00D5018E">
      <w:pPr>
        <w:pBdr>
          <w:bottom w:val="single" w:sz="12" w:space="1" w:color="auto"/>
        </w:pBdr>
        <w:tabs>
          <w:tab w:val="left" w:leader="underscore" w:pos="9639"/>
        </w:tabs>
        <w:spacing w:after="0" w:line="240" w:lineRule="auto"/>
        <w:jc w:val="both"/>
        <w:rPr>
          <w:rFonts w:asciiTheme="minorHAnsi" w:hAnsiTheme="minorHAnsi" w:cstheme="minorHAnsi"/>
          <w:color w:val="2E74B5" w:themeColor="accent1" w:themeShade="BF"/>
          <w:sz w:val="20"/>
          <w:szCs w:val="20"/>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2E14F31B" w14:textId="77777777" w:rsidR="003F1793" w:rsidRDefault="003F1793" w:rsidP="00CB41C4">
      <w:pPr>
        <w:tabs>
          <w:tab w:val="left" w:leader="underscore" w:pos="9639"/>
        </w:tabs>
        <w:spacing w:after="0" w:line="240" w:lineRule="auto"/>
        <w:jc w:val="both"/>
        <w:rPr>
          <w:rFonts w:cs="Calibri"/>
        </w:rPr>
      </w:pPr>
    </w:p>
    <w:p w14:paraId="16FF9349" w14:textId="77777777" w:rsidR="003F1793" w:rsidRDefault="003F1793" w:rsidP="00CB41C4">
      <w:pPr>
        <w:tabs>
          <w:tab w:val="left" w:leader="underscore" w:pos="9639"/>
        </w:tabs>
        <w:spacing w:after="0" w:line="240" w:lineRule="auto"/>
        <w:jc w:val="both"/>
        <w:rPr>
          <w:rFonts w:cs="Calibri"/>
        </w:rPr>
      </w:pPr>
    </w:p>
    <w:p w14:paraId="65C221B2" w14:textId="77777777" w:rsidR="003F1793" w:rsidRDefault="003F1793" w:rsidP="00CB41C4">
      <w:pPr>
        <w:tabs>
          <w:tab w:val="left" w:leader="underscore" w:pos="9639"/>
        </w:tabs>
        <w:spacing w:after="0" w:line="240" w:lineRule="auto"/>
        <w:jc w:val="both"/>
        <w:rPr>
          <w:rFonts w:cs="Calibri"/>
        </w:rPr>
      </w:pPr>
    </w:p>
    <w:p w14:paraId="31E5C6F6" w14:textId="77777777" w:rsidR="003F1793" w:rsidRDefault="003F1793" w:rsidP="003F1793">
      <w:pPr>
        <w:spacing w:after="0" w:line="240" w:lineRule="auto"/>
        <w:jc w:val="both"/>
      </w:pPr>
    </w:p>
    <w:p w14:paraId="570E9805" w14:textId="77777777" w:rsidR="003F1793" w:rsidRDefault="003F1793" w:rsidP="003F1793">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154"/>
      </w:tblGrid>
      <w:tr w:rsidR="003F1793" w14:paraId="424D7106" w14:textId="77777777" w:rsidTr="006403D3">
        <w:tc>
          <w:tcPr>
            <w:tcW w:w="4106" w:type="dxa"/>
            <w:tcBorders>
              <w:bottom w:val="single" w:sz="4" w:space="0" w:color="auto"/>
            </w:tcBorders>
          </w:tcPr>
          <w:p w14:paraId="65EACAAF" w14:textId="77777777" w:rsidR="003F1793" w:rsidRDefault="003F1793" w:rsidP="006403D3">
            <w:pPr>
              <w:jc w:val="both"/>
            </w:pPr>
          </w:p>
        </w:tc>
        <w:tc>
          <w:tcPr>
            <w:tcW w:w="1134" w:type="dxa"/>
          </w:tcPr>
          <w:p w14:paraId="7B6E97BA" w14:textId="77777777" w:rsidR="003F1793" w:rsidRDefault="003F1793" w:rsidP="006403D3">
            <w:pPr>
              <w:jc w:val="both"/>
            </w:pPr>
          </w:p>
        </w:tc>
        <w:tc>
          <w:tcPr>
            <w:tcW w:w="4154" w:type="dxa"/>
            <w:tcBorders>
              <w:bottom w:val="single" w:sz="4" w:space="0" w:color="auto"/>
            </w:tcBorders>
          </w:tcPr>
          <w:p w14:paraId="5CBFB9F2" w14:textId="77777777" w:rsidR="003F1793" w:rsidRDefault="003F1793" w:rsidP="006403D3">
            <w:pPr>
              <w:jc w:val="both"/>
            </w:pPr>
          </w:p>
        </w:tc>
      </w:tr>
      <w:tr w:rsidR="003F1793" w14:paraId="7FA40B5C" w14:textId="77777777" w:rsidTr="006403D3">
        <w:tc>
          <w:tcPr>
            <w:tcW w:w="4106" w:type="dxa"/>
            <w:tcBorders>
              <w:top w:val="single" w:sz="4" w:space="0" w:color="auto"/>
            </w:tcBorders>
          </w:tcPr>
          <w:p w14:paraId="2FF5D38A" w14:textId="77777777" w:rsidR="003F1793" w:rsidRDefault="003F1793" w:rsidP="006403D3">
            <w:pPr>
              <w:jc w:val="center"/>
            </w:pPr>
            <w:r>
              <w:t>C. Norma Elena García Magos</w:t>
            </w:r>
          </w:p>
          <w:p w14:paraId="04C11F3E" w14:textId="77777777" w:rsidR="003F1793" w:rsidRDefault="003F1793" w:rsidP="006403D3">
            <w:pPr>
              <w:jc w:val="center"/>
            </w:pPr>
            <w:r>
              <w:t>Directora del SDIF</w:t>
            </w:r>
          </w:p>
        </w:tc>
        <w:tc>
          <w:tcPr>
            <w:tcW w:w="1134" w:type="dxa"/>
          </w:tcPr>
          <w:p w14:paraId="7FD83349" w14:textId="77777777" w:rsidR="003F1793" w:rsidRDefault="003F1793" w:rsidP="006403D3">
            <w:pPr>
              <w:jc w:val="both"/>
            </w:pPr>
          </w:p>
        </w:tc>
        <w:tc>
          <w:tcPr>
            <w:tcW w:w="4154" w:type="dxa"/>
            <w:tcBorders>
              <w:top w:val="single" w:sz="4" w:space="0" w:color="auto"/>
            </w:tcBorders>
          </w:tcPr>
          <w:p w14:paraId="24346657" w14:textId="77777777" w:rsidR="003F1793" w:rsidRDefault="003F1793" w:rsidP="006403D3">
            <w:pPr>
              <w:jc w:val="center"/>
            </w:pPr>
            <w:r>
              <w:t>C.P. Araceli Álvarez Pescador</w:t>
            </w:r>
          </w:p>
          <w:p w14:paraId="0946E3F6" w14:textId="77777777" w:rsidR="003F1793" w:rsidRDefault="003F1793" w:rsidP="006403D3">
            <w:pPr>
              <w:jc w:val="center"/>
            </w:pPr>
            <w:r>
              <w:t>Coordinador Contable</w:t>
            </w:r>
          </w:p>
        </w:tc>
      </w:tr>
    </w:tbl>
    <w:p w14:paraId="5354D510" w14:textId="77777777" w:rsidR="003F1793" w:rsidRDefault="003F1793" w:rsidP="003F1793">
      <w:pPr>
        <w:spacing w:after="0" w:line="240" w:lineRule="auto"/>
        <w:jc w:val="both"/>
      </w:pPr>
    </w:p>
    <w:p w14:paraId="6393A31F" w14:textId="77777777" w:rsidR="003F1793" w:rsidRPr="00E74967" w:rsidRDefault="003F1793" w:rsidP="00CB41C4">
      <w:pPr>
        <w:tabs>
          <w:tab w:val="left" w:leader="underscore" w:pos="9639"/>
        </w:tabs>
        <w:spacing w:after="0" w:line="240" w:lineRule="auto"/>
        <w:jc w:val="both"/>
        <w:rPr>
          <w:rFonts w:cs="Calibri"/>
        </w:rPr>
      </w:pPr>
    </w:p>
    <w:sectPr w:rsidR="003F1793"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6696" w14:textId="77777777" w:rsidR="00210A8D" w:rsidRDefault="00210A8D" w:rsidP="00E00323">
      <w:pPr>
        <w:spacing w:after="0" w:line="240" w:lineRule="auto"/>
      </w:pPr>
      <w:r>
        <w:separator/>
      </w:r>
    </w:p>
  </w:endnote>
  <w:endnote w:type="continuationSeparator" w:id="0">
    <w:p w14:paraId="6CBBAA0B" w14:textId="77777777" w:rsidR="00210A8D" w:rsidRDefault="00210A8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A456B83" w:rsidR="0012405A" w:rsidRDefault="0012405A">
        <w:pPr>
          <w:pStyle w:val="Piedepgina"/>
          <w:jc w:val="right"/>
        </w:pPr>
        <w:r>
          <w:fldChar w:fldCharType="begin"/>
        </w:r>
        <w:r>
          <w:instrText>PAGE   \* MERGEFORMAT</w:instrText>
        </w:r>
        <w:r>
          <w:fldChar w:fldCharType="separate"/>
        </w:r>
        <w:r w:rsidR="00D75070" w:rsidRPr="00D7507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FF9C7" w14:textId="77777777" w:rsidR="00210A8D" w:rsidRDefault="00210A8D" w:rsidP="00E00323">
      <w:pPr>
        <w:spacing w:after="0" w:line="240" w:lineRule="auto"/>
      </w:pPr>
      <w:r>
        <w:separator/>
      </w:r>
    </w:p>
  </w:footnote>
  <w:footnote w:type="continuationSeparator" w:id="0">
    <w:p w14:paraId="0AE736FE" w14:textId="77777777" w:rsidR="00210A8D" w:rsidRDefault="00210A8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7804D942" w:rsidR="00154BA3" w:rsidRDefault="00CB255B" w:rsidP="00A4610E">
    <w:pPr>
      <w:pStyle w:val="Encabezado"/>
      <w:spacing w:after="0" w:line="240" w:lineRule="auto"/>
      <w:jc w:val="center"/>
    </w:pPr>
    <w:r>
      <w:t>SISTEMA PARA EL DESARROLLO INTEGRAL DE LA FAMILIA DEL MUNICIPIO DE COMONFORT, GTO.</w:t>
    </w:r>
  </w:p>
  <w:p w14:paraId="651A4C4F" w14:textId="56B4A2B2" w:rsidR="00A4610E" w:rsidRDefault="001405FD" w:rsidP="001405FD">
    <w:pPr>
      <w:pStyle w:val="Encabezado"/>
      <w:spacing w:after="0" w:line="240" w:lineRule="auto"/>
      <w:jc w:val="center"/>
    </w:pPr>
    <w:r>
      <w:t>CORRESPONDINTES AL 3ER</w:t>
    </w:r>
    <w:r w:rsidR="00CB255B">
      <w:t xml:space="preserve"> TRIMESTRE DEL EJERCICIO FISCAL 2021</w:t>
    </w:r>
  </w:p>
  <w:p w14:paraId="0D65A0E0" w14:textId="77777777" w:rsidR="00CB255B" w:rsidRDefault="00CB255B"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04DA"/>
    <w:multiLevelType w:val="hybridMultilevel"/>
    <w:tmpl w:val="E6783ACE"/>
    <w:lvl w:ilvl="0" w:tplc="ECA4FB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742706"/>
    <w:multiLevelType w:val="hybridMultilevel"/>
    <w:tmpl w:val="7BEE0132"/>
    <w:lvl w:ilvl="0" w:tplc="57D4E8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D80CC3"/>
    <w:multiLevelType w:val="hybridMultilevel"/>
    <w:tmpl w:val="0478D972"/>
    <w:lvl w:ilvl="0" w:tplc="6B2E32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830"/>
    <w:rsid w:val="00040D4F"/>
    <w:rsid w:val="00084EAE"/>
    <w:rsid w:val="00091CE6"/>
    <w:rsid w:val="000A22F1"/>
    <w:rsid w:val="000B7810"/>
    <w:rsid w:val="000C3365"/>
    <w:rsid w:val="000F3D90"/>
    <w:rsid w:val="0012405A"/>
    <w:rsid w:val="0013044F"/>
    <w:rsid w:val="001405FD"/>
    <w:rsid w:val="00154BA3"/>
    <w:rsid w:val="001973A2"/>
    <w:rsid w:val="001C75F2"/>
    <w:rsid w:val="001D2063"/>
    <w:rsid w:val="001D43E9"/>
    <w:rsid w:val="001D604B"/>
    <w:rsid w:val="001E6F79"/>
    <w:rsid w:val="00210A8D"/>
    <w:rsid w:val="002231EE"/>
    <w:rsid w:val="00232175"/>
    <w:rsid w:val="00295B2D"/>
    <w:rsid w:val="00314E12"/>
    <w:rsid w:val="003453CA"/>
    <w:rsid w:val="00372BDF"/>
    <w:rsid w:val="003A3FCD"/>
    <w:rsid w:val="003F1793"/>
    <w:rsid w:val="00435A87"/>
    <w:rsid w:val="004A58C8"/>
    <w:rsid w:val="004B31D5"/>
    <w:rsid w:val="004B61E3"/>
    <w:rsid w:val="004F1B56"/>
    <w:rsid w:val="004F234D"/>
    <w:rsid w:val="004F3E64"/>
    <w:rsid w:val="0054701E"/>
    <w:rsid w:val="005832E2"/>
    <w:rsid w:val="005B5531"/>
    <w:rsid w:val="005D3E43"/>
    <w:rsid w:val="005E231E"/>
    <w:rsid w:val="00657009"/>
    <w:rsid w:val="00681C79"/>
    <w:rsid w:val="00704159"/>
    <w:rsid w:val="007610BC"/>
    <w:rsid w:val="007714AB"/>
    <w:rsid w:val="0077232E"/>
    <w:rsid w:val="00787252"/>
    <w:rsid w:val="007D1E76"/>
    <w:rsid w:val="007D4484"/>
    <w:rsid w:val="00810CB8"/>
    <w:rsid w:val="00816E2F"/>
    <w:rsid w:val="0086459F"/>
    <w:rsid w:val="008A0AF2"/>
    <w:rsid w:val="008B7A3E"/>
    <w:rsid w:val="008C3BB8"/>
    <w:rsid w:val="008C73F7"/>
    <w:rsid w:val="008E076C"/>
    <w:rsid w:val="0092765C"/>
    <w:rsid w:val="00A4610E"/>
    <w:rsid w:val="00A730E0"/>
    <w:rsid w:val="00A86B7B"/>
    <w:rsid w:val="00AA41E5"/>
    <w:rsid w:val="00AB722B"/>
    <w:rsid w:val="00AD470C"/>
    <w:rsid w:val="00AE1F6A"/>
    <w:rsid w:val="00B40609"/>
    <w:rsid w:val="00B62DA4"/>
    <w:rsid w:val="00B93594"/>
    <w:rsid w:val="00BA59FA"/>
    <w:rsid w:val="00C0559D"/>
    <w:rsid w:val="00C97E1E"/>
    <w:rsid w:val="00CA4BD9"/>
    <w:rsid w:val="00CB255B"/>
    <w:rsid w:val="00CB41C4"/>
    <w:rsid w:val="00CD539B"/>
    <w:rsid w:val="00CF1316"/>
    <w:rsid w:val="00CF4BDE"/>
    <w:rsid w:val="00D13C44"/>
    <w:rsid w:val="00D211A8"/>
    <w:rsid w:val="00D40FC2"/>
    <w:rsid w:val="00D446FC"/>
    <w:rsid w:val="00D5018E"/>
    <w:rsid w:val="00D75070"/>
    <w:rsid w:val="00D969E2"/>
    <w:rsid w:val="00D975B1"/>
    <w:rsid w:val="00E00323"/>
    <w:rsid w:val="00E14031"/>
    <w:rsid w:val="00E74967"/>
    <w:rsid w:val="00E7559F"/>
    <w:rsid w:val="00E83B62"/>
    <w:rsid w:val="00EA37F5"/>
    <w:rsid w:val="00EA7915"/>
    <w:rsid w:val="00F46719"/>
    <w:rsid w:val="00F54F6F"/>
    <w:rsid w:val="00F6102D"/>
    <w:rsid w:val="00F65A92"/>
    <w:rsid w:val="00FA7E3D"/>
    <w:rsid w:val="00FB48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B396FE-2112-4E28-A7D2-D12A54A5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3387</Words>
  <Characters>18634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DIF-A-00425</cp:lastModifiedBy>
  <cp:revision>2</cp:revision>
  <cp:lastPrinted>2021-07-14T20:25:00Z</cp:lastPrinted>
  <dcterms:created xsi:type="dcterms:W3CDTF">2021-10-05T16:48:00Z</dcterms:created>
  <dcterms:modified xsi:type="dcterms:W3CDTF">2021-10-05T16:48:00Z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